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widowControl/>
        <w:rPr>
          <w:rFonts w:hint="eastAsia" w:cs="Times New Roman"/>
          <w:b/>
          <w:bCs/>
          <w:color w:val="auto"/>
          <w:sz w:val="48"/>
          <w:szCs w:val="48"/>
          <w:highlight w:val="none"/>
          <w:lang w:val="en-US" w:bidi="ar-SA"/>
        </w:rPr>
      </w:pPr>
      <w:r/>
      <w:bookmarkStart w:id="0" w:name="OLE_LINK5"/>
      <w:r/>
      <w:bookmarkStart w:id="1" w:name="OLE_LINK12"/>
      <w:r/>
      <w:bookmarkStart w:id="68" w:name="_GoBack"/>
      <w:r/>
      <w:r/>
    </w:p>
    <w:p>
      <w:pPr>
        <w:pStyle w:val="939"/>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39"/>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39"/>
        <w:jc w:val="center"/>
        <w:rPr>
          <w:rFonts w:cs="Times New Roman"/>
          <w:b/>
          <w:bCs/>
          <w:color w:val="auto"/>
          <w:sz w:val="48"/>
          <w:szCs w:val="48"/>
          <w:highlight w:val="none"/>
          <w:lang w:val="en-US" w:bidi="ar-SA"/>
        </w:rPr>
      </w:pPr>
      <w:r>
        <w:rPr>
          <w:rFonts w:hint="eastAsia" w:cs="Times New Roman"/>
          <w:b/>
          <w:bCs/>
          <w:color w:val="auto"/>
          <w:sz w:val="48"/>
          <w:szCs w:val="48"/>
          <w:highlight w:val="none"/>
          <w:lang w:val="en-US" w:bidi="ar-SA"/>
        </w:rPr>
        <w:t xml:space="preserve">江苏开放大学环境生态学院实验室仪器设备采购</w:t>
      </w:r>
      <w:r/>
    </w:p>
    <w:p>
      <w:pPr>
        <w:pStyle w:val="939"/>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39"/>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jc w:val="center"/>
        <w:spacing w:line="360" w:lineRule="auto"/>
        <w:widowControl/>
        <w:rPr>
          <w:rFonts w:hAnsi="Times New Roman" w:cs="Times New Roman"/>
          <w:b/>
          <w:bCs/>
          <w:color w:val="auto"/>
          <w:sz w:val="48"/>
          <w:szCs w:val="48"/>
          <w:highlight w:val="none"/>
          <w:lang w:val="en-US" w:bidi="ar-SA"/>
        </w:rPr>
      </w:pPr>
      <w:r>
        <w:rPr>
          <w:rFonts w:hAnsi="Times New Roman" w:cs="Times New Roman"/>
          <w:b/>
          <w:bCs/>
          <w:color w:val="auto"/>
          <w:sz w:val="48"/>
          <w:szCs w:val="48"/>
          <w:highlight w:val="none"/>
          <w:lang w:val="en-US" w:bidi="ar-SA"/>
        </w:rPr>
        <mc:AlternateContent>
          <mc:Choice Requires="wpg">
            <w:drawing>
              <wp:inline xmlns:wp="http://schemas.openxmlformats.org/drawingml/2006/wordprocessingDrawing" distT="0" distB="0" distL="0" distR="0">
                <wp:extent cx="1717675" cy="2131695"/>
                <wp:effectExtent l="0" t="0" r="15875" b="1905"/>
                <wp:docPr id="5"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我的插图-1"/>
                        <pic:cNvPicPr>
                          <a:picLocks noChangeAspect="1"/>
                        </pic:cNvPicPr>
                        <pic:nvPr/>
                      </pic:nvPicPr>
                      <pic:blipFill>
                        <a:blip r:embed="rId15"/>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5" o:title=""/>
              </v:shape>
            </w:pict>
          </mc:Fallback>
        </mc:AlternateContent>
      </w:r>
      <w:r/>
    </w:p>
    <w:p>
      <w:pPr>
        <w:jc w:val="center"/>
        <w:spacing w:line="360" w:lineRule="auto"/>
        <w:widowControl/>
        <w:rPr>
          <w:rFonts w:hAnsi="Times New Roman" w:cs="Times New Roman"/>
          <w:b/>
          <w:bCs/>
          <w:color w:val="auto"/>
          <w:sz w:val="72"/>
          <w:szCs w:val="72"/>
          <w:highlight w:val="none"/>
          <w:lang w:val="en-US" w:bidi="ar-SA"/>
        </w:rPr>
      </w:pPr>
      <w:r>
        <w:rPr>
          <w:rFonts w:hint="eastAsia" w:cs="Times New Roman"/>
          <w:b/>
          <w:bCs/>
          <w:color w:val="auto"/>
          <w:sz w:val="72"/>
          <w:szCs w:val="72"/>
          <w:highlight w:val="none"/>
          <w:lang w:val="en-US" w:bidi="ar-SA"/>
        </w:rPr>
        <w:t xml:space="preserve">招标文件</w:t>
      </w:r>
      <w:r/>
    </w:p>
    <w:p>
      <w:pPr>
        <w:jc w:val="center"/>
        <w:spacing w:line="360" w:lineRule="auto"/>
        <w:widowControl/>
        <w:rPr>
          <w:rFonts w:hint="eastAsia" w:hAnsi="Times New Roman" w:eastAsia="宋体" w:cs="Times New Roman"/>
          <w:color w:val="auto"/>
          <w:sz w:val="21"/>
          <w:szCs w:val="21"/>
          <w:highlight w:val="none"/>
          <w:lang w:val="en-US" w:eastAsia="zh-CN" w:bidi="ar-SA"/>
        </w:rPr>
      </w:pPr>
      <w:r>
        <w:rPr>
          <w:rFonts w:hint="eastAsia" w:cs="Times New Roman"/>
          <w:b/>
          <w:color w:val="auto"/>
          <w:sz w:val="36"/>
          <w:szCs w:val="36"/>
          <w:highlight w:val="none"/>
          <w:lang w:val="en-US" w:bidi="ar-SA"/>
        </w:rPr>
        <w:t xml:space="preserve">项目编号：</w:t>
      </w:r>
      <w:r>
        <w:rPr>
          <w:rFonts w:hint="eastAsia" w:cs="Times New Roman"/>
          <w:b/>
          <w:color w:val="auto"/>
          <w:sz w:val="36"/>
          <w:szCs w:val="36"/>
          <w:highlight w:val="none"/>
          <w:lang w:val="en-US" w:eastAsia="zh-CN" w:bidi="ar-SA"/>
        </w:rPr>
        <w:t xml:space="preserve">JSZC-320000-SNZX-G2026-0043</w:t>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采购人：江苏开放大学</w:t>
      </w:r>
      <w:r/>
    </w:p>
    <w:p>
      <w:pPr>
        <w:ind w:left="660" w:firstLine="723"/>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日期：二〇二六年四月</w:t>
      </w:r>
      <w:r>
        <w:rPr>
          <w:rFonts w:hint="eastAsia" w:cs="Times New Roman"/>
          <w:b/>
          <w:color w:val="auto"/>
          <w:sz w:val="36"/>
          <w:szCs w:val="36"/>
          <w:highlight w:val="none"/>
          <w:lang w:val="en-US" w:bidi="ar-SA"/>
        </w:rPr>
        <w:br w:type="page" w:clear="all"/>
      </w:r>
      <w:r/>
    </w:p>
    <w:sdt>
      <w:sdtPr>
        <w15:appearance w15:val="boundingBox"/>
        <w:id w:val="147453953"/>
        <w:docPartObj>
          <w:docPartGallery w:val="Table of Contents"/>
          <w:docPartUnique w:val="true"/>
        </w:docPartObj>
        <w:rPr>
          <w:rFonts w:hint="eastAsia"/>
          <w:color w:val="auto"/>
          <w:sz w:val="28"/>
          <w:szCs w:val="28"/>
          <w:highlight w:val="none"/>
        </w:rPr>
      </w:sdtPr>
      <w:sdtContent>
        <w:p>
          <w:pPr>
            <w:jc w:val="cente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目录</w:t>
          </w:r>
          <w:r/>
        </w:p>
        <w:p>
          <w:pPr>
            <w:pStyle w:val="901"/>
            <w:spacing w:line="480" w:lineRule="auto"/>
            <w:tabs>
              <w:tab w:val="right" w:pos="9638" w:leader="dot"/>
            </w:tabs>
            <w:rPr>
              <w:color w:val="auto"/>
              <w:sz w:val="28"/>
              <w:szCs w:val="28"/>
              <w:highlight w:val="none"/>
            </w:rPr>
          </w:pPr>
          <w:r>
            <w:rPr>
              <w:rFonts w:hint="eastAsia"/>
              <w:color w:val="auto"/>
              <w:sz w:val="28"/>
              <w:szCs w:val="28"/>
              <w:highlight w:val="none"/>
              <w:lang w:val="en-US"/>
            </w:rPr>
            <w:fldChar w:fldCharType="begin"/>
          </w:r>
          <w:r>
            <w:rPr>
              <w:rFonts w:hint="eastAsia"/>
              <w:color w:val="auto"/>
              <w:sz w:val="28"/>
              <w:szCs w:val="28"/>
              <w:highlight w:val="none"/>
              <w:lang w:val="en-US"/>
            </w:rPr>
            <w:instrText xml:space="preserve">TOC \o "1-1" \h \u </w:instrText>
          </w:r>
          <w:r>
            <w:rPr>
              <w:rFonts w:hint="eastAsia"/>
              <w:color w:val="auto"/>
              <w:sz w:val="28"/>
              <w:szCs w:val="28"/>
              <w:highlight w:val="none"/>
              <w:lang w:val="en-US"/>
            </w:rPr>
            <w:fldChar w:fldCharType="separate"/>
          </w:r>
          <w:r>
            <w:rPr>
              <w:color w:val="auto"/>
              <w:highlight w:val="none"/>
            </w:rPr>
            <w:fldChar w:fldCharType="begin"/>
          </w:r>
          <w:r>
            <w:rPr>
              <w:color w:val="auto"/>
              <w:highlight w:val="none"/>
            </w:rPr>
            <w:instrText xml:space="preserve"> HYPERLINK \l "_Toc10358" </w:instrText>
          </w:r>
          <w:r>
            <w:rPr>
              <w:color w:val="auto"/>
              <w:highlight w:val="none"/>
            </w:rPr>
            <w:fldChar w:fldCharType="separate"/>
          </w:r>
          <w:r>
            <w:rPr>
              <w:rFonts w:hint="eastAsia"/>
              <w:color w:val="auto"/>
              <w:sz w:val="28"/>
              <w:szCs w:val="28"/>
              <w:highlight w:val="none"/>
            </w:rPr>
            <w:t xml:space="preserve">第一章</w:t>
          </w:r>
          <w:r>
            <w:rPr>
              <w:rFonts w:hint="eastAsia"/>
              <w:color w:val="auto"/>
              <w:sz w:val="28"/>
              <w:szCs w:val="28"/>
              <w:highlight w:val="none"/>
              <w:lang w:val="en-US"/>
            </w:rPr>
            <w:t xml:space="preserve"> </w:t>
          </w:r>
          <w:r>
            <w:rPr>
              <w:rFonts w:hint="eastAsia"/>
              <w:color w:val="auto"/>
              <w:sz w:val="28"/>
              <w:szCs w:val="28"/>
              <w:highlight w:val="none"/>
            </w:rPr>
            <w:t xml:space="preserve">招标公告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_Toc10358 \h </w:instrText>
          </w:r>
          <w:r>
            <w:rPr>
              <w:rFonts w:hint="eastAsia"/>
              <w:color w:val="auto"/>
              <w:sz w:val="28"/>
              <w:szCs w:val="28"/>
              <w:highlight w:val="none"/>
            </w:rPr>
            <w:fldChar w:fldCharType="separate"/>
          </w:r>
          <w:r>
            <w:rPr>
              <w:color w:val="auto"/>
              <w:sz w:val="28"/>
              <w:szCs w:val="28"/>
              <w:highlight w:val="none"/>
            </w:rPr>
            <w:t xml:space="preserve">3</w:t>
          </w:r>
          <w:r>
            <w:rPr>
              <w:rFonts w:hint="eastAsia"/>
              <w:color w:val="auto"/>
              <w:sz w:val="28"/>
              <w:szCs w:val="28"/>
              <w:highlight w:val="none"/>
            </w:rPr>
            <w:fldChar w:fldCharType="end"/>
          </w:r>
          <w:r>
            <w:rPr>
              <w:rFonts w:hint="eastAsia"/>
              <w:color w:val="auto"/>
              <w:sz w:val="28"/>
              <w:szCs w:val="28"/>
              <w:highlight w:val="none"/>
            </w:rPr>
            <w:fldChar w:fldCharType="end"/>
          </w:r>
          <w:r/>
        </w:p>
        <w:p>
          <w:pPr>
            <w:pStyle w:val="90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"_Toc15993" </w:instrText>
          </w:r>
          <w:r>
            <w:rPr>
              <w:color w:val="auto"/>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en-US"/>
            </w:rPr>
            <w:t xml:space="preserve"> </w:t>
          </w:r>
          <w:r>
            <w:rPr>
              <w:rFonts w:hint="eastAsia"/>
              <w:color w:val="auto"/>
              <w:sz w:val="28"/>
              <w:szCs w:val="28"/>
              <w:highlight w:val="none"/>
            </w:rPr>
            <w:t xml:space="preserve">供应商须知</w:t>
          </w:r>
          <w:r>
            <w:rPr>
              <w:rFonts w:hint="eastAsia"/>
              <w:color w:val="auto"/>
              <w:sz w:val="28"/>
              <w:szCs w:val="28"/>
              <w:highlight w:val="none"/>
            </w:rPr>
            <w:tab/>
          </w:r>
          <w:r>
            <w:rPr>
              <w:rFonts w:hint="eastAsia"/>
              <w:color w:val="auto"/>
              <w:sz w:val="28"/>
              <w:szCs w:val="28"/>
              <w:highlight w:val="none"/>
              <w:lang w:val="en-US"/>
            </w:rPr>
            <w:t xml:space="preserve">6</w:t>
          </w:r>
          <w:r>
            <w:rPr>
              <w:rFonts w:hint="eastAsia"/>
              <w:color w:val="auto"/>
              <w:sz w:val="28"/>
              <w:szCs w:val="28"/>
              <w:highlight w:val="none"/>
              <w:lang w:val="en-US"/>
            </w:rPr>
            <w:fldChar w:fldCharType="end"/>
          </w:r>
          <w:r/>
        </w:p>
        <w:p>
          <w:pPr>
            <w:pStyle w:val="90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"_Toc9832" </w:instrText>
          </w:r>
          <w:r>
            <w:rPr>
              <w:color w:val="auto"/>
              <w:highlight w:val="none"/>
            </w:rPr>
            <w:fldChar w:fldCharType="separate"/>
          </w:r>
          <w:r>
            <w:rPr>
              <w:rFonts w:hint="eastAsia"/>
              <w:color w:val="auto"/>
              <w:sz w:val="28"/>
              <w:szCs w:val="28"/>
              <w:highlight w:val="none"/>
            </w:rPr>
            <w:t xml:space="preserve">第三章 评标标准</w:t>
          </w:r>
          <w:r>
            <w:rPr>
              <w:rFonts w:hint="eastAsia"/>
              <w:color w:val="auto"/>
              <w:sz w:val="28"/>
              <w:szCs w:val="28"/>
              <w:highlight w:val="none"/>
            </w:rPr>
            <w:tab/>
          </w:r>
          <w:r>
            <w:rPr>
              <w:color w:val="auto"/>
              <w:sz w:val="28"/>
              <w:szCs w:val="28"/>
              <w:highlight w:val="none"/>
            </w:rPr>
            <w:t xml:space="preserve">18</w:t>
          </w:r>
          <w:r>
            <w:rPr>
              <w:color w:val="auto"/>
              <w:sz w:val="28"/>
              <w:szCs w:val="28"/>
              <w:highlight w:val="none"/>
            </w:rPr>
            <w:fldChar w:fldCharType="end"/>
          </w:r>
          <w:r/>
        </w:p>
        <w:p>
          <w:pPr>
            <w:pStyle w:val="90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"_Toc12644" </w:instrText>
          </w:r>
          <w:r>
            <w:rPr>
              <w:color w:val="auto"/>
              <w:highlight w:val="none"/>
            </w:rPr>
            <w:fldChar w:fldCharType="separate"/>
          </w:r>
          <w:r>
            <w:rPr>
              <w:rFonts w:hint="eastAsia"/>
              <w:color w:val="auto"/>
              <w:sz w:val="28"/>
              <w:szCs w:val="28"/>
              <w:highlight w:val="none"/>
            </w:rPr>
            <w:t xml:space="preserve">第四章 招标项目的技术规格、要求和数量等</w:t>
          </w:r>
          <w:r>
            <w:rPr>
              <w:rFonts w:hint="eastAsia"/>
              <w:color w:val="auto"/>
              <w:sz w:val="28"/>
              <w:szCs w:val="28"/>
              <w:highlight w:val="none"/>
            </w:rPr>
            <w:tab/>
          </w:r>
          <w:r>
            <w:rPr>
              <w:color w:val="auto"/>
              <w:sz w:val="28"/>
              <w:szCs w:val="28"/>
              <w:highlight w:val="none"/>
            </w:rPr>
            <w:t xml:space="preserve">23</w:t>
          </w:r>
          <w:r>
            <w:rPr>
              <w:color w:val="auto"/>
              <w:sz w:val="28"/>
              <w:szCs w:val="28"/>
              <w:highlight w:val="none"/>
            </w:rPr>
            <w:fldChar w:fldCharType="end"/>
          </w:r>
          <w:r/>
        </w:p>
        <w:p>
          <w:pPr>
            <w:pStyle w:val="901"/>
            <w:spacing w:line="480" w:lineRule="auto"/>
            <w:tabs>
              <w:tab w:val="right" w:pos="2400" w:leader="none"/>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"_Toc17931" </w:instrText>
          </w:r>
          <w:r>
            <w:rPr>
              <w:color w:val="auto"/>
              <w:highlight w:val="none"/>
            </w:rPr>
            <w:fldChar w:fldCharType="separate"/>
          </w:r>
          <w:r>
            <w:rPr>
              <w:rFonts w:hint="eastAsia"/>
              <w:color w:val="auto"/>
              <w:sz w:val="28"/>
              <w:szCs w:val="28"/>
              <w:highlight w:val="none"/>
            </w:rPr>
            <w:t xml:space="preserve">第五章</w:t>
          </w:r>
          <w:r>
            <w:rPr>
              <w:rFonts w:hint="eastAsia"/>
              <w:color w:val="auto"/>
              <w:sz w:val="28"/>
              <w:szCs w:val="28"/>
              <w:highlight w:val="none"/>
            </w:rPr>
            <w:tab/>
          </w:r>
          <w:r>
            <w:rPr>
              <w:rFonts w:hint="eastAsia"/>
              <w:color w:val="auto"/>
              <w:sz w:val="28"/>
              <w:szCs w:val="28"/>
              <w:highlight w:val="none"/>
              <w:lang w:val="en-US"/>
            </w:rPr>
            <w:t xml:space="preserve"> </w:t>
          </w:r>
          <w:r>
            <w:rPr>
              <w:rFonts w:hint="eastAsia"/>
              <w:color w:val="auto"/>
              <w:sz w:val="28"/>
              <w:szCs w:val="28"/>
              <w:highlight w:val="none"/>
            </w:rPr>
            <w:t xml:space="preserve">合同主要条款及格式</w:t>
          </w:r>
          <w:r>
            <w:rPr>
              <w:rFonts w:hint="eastAsia"/>
              <w:color w:val="auto"/>
              <w:sz w:val="28"/>
              <w:szCs w:val="28"/>
              <w:highlight w:val="none"/>
            </w:rPr>
            <w:tab/>
          </w:r>
          <w:r>
            <w:rPr>
              <w:color w:val="auto"/>
              <w:sz w:val="28"/>
              <w:szCs w:val="28"/>
              <w:highlight w:val="none"/>
            </w:rPr>
            <w:t xml:space="preserve">54</w:t>
          </w:r>
          <w:r>
            <w:rPr>
              <w:color w:val="auto"/>
              <w:sz w:val="28"/>
              <w:szCs w:val="28"/>
              <w:highlight w:val="none"/>
            </w:rPr>
            <w:fldChar w:fldCharType="end"/>
          </w:r>
          <w:r/>
        </w:p>
        <w:p>
          <w:pPr>
            <w:pStyle w:val="901"/>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"_Toc11634" </w:instrText>
          </w:r>
          <w:r>
            <w:rPr>
              <w:color w:val="auto"/>
              <w:highlight w:val="none"/>
            </w:rPr>
            <w:fldChar w:fldCharType="separate"/>
          </w:r>
          <w:r>
            <w:rPr>
              <w:rFonts w:hint="eastAsia"/>
              <w:color w:val="auto"/>
              <w:sz w:val="28"/>
              <w:szCs w:val="28"/>
              <w:highlight w:val="none"/>
            </w:rPr>
            <w:t xml:space="preserve">第六章</w:t>
          </w:r>
          <w:r>
            <w:rPr>
              <w:rFonts w:hint="eastAsia"/>
              <w:color w:val="auto"/>
              <w:sz w:val="28"/>
              <w:szCs w:val="28"/>
              <w:highlight w:val="none"/>
              <w:lang w:val="en-US"/>
            </w:rPr>
            <w:t xml:space="preserve"> </w:t>
          </w:r>
          <w:r>
            <w:rPr>
              <w:rFonts w:hint="eastAsia"/>
              <w:color w:val="auto"/>
              <w:sz w:val="28"/>
              <w:szCs w:val="28"/>
              <w:highlight w:val="none"/>
            </w:rPr>
            <w:t xml:space="preserve">投标文件格式及附件</w:t>
          </w:r>
          <w:r>
            <w:rPr>
              <w:rFonts w:hint="eastAsia"/>
              <w:color w:val="auto"/>
              <w:sz w:val="28"/>
              <w:szCs w:val="28"/>
              <w:highlight w:val="none"/>
            </w:rPr>
            <w:tab/>
          </w:r>
          <w:r>
            <w:rPr>
              <w:color w:val="auto"/>
              <w:sz w:val="28"/>
              <w:szCs w:val="28"/>
              <w:highlight w:val="none"/>
            </w:rPr>
            <w:t xml:space="preserve">60</w:t>
          </w:r>
          <w:r>
            <w:rPr>
              <w:color w:val="auto"/>
              <w:sz w:val="28"/>
              <w:szCs w:val="28"/>
              <w:highlight w:val="none"/>
            </w:rPr>
            <w:fldChar w:fldCharType="end"/>
          </w:r>
          <w:r/>
        </w:p>
        <w:p>
          <w:pPr>
            <w:pStyle w:val="939"/>
            <w:ind w:left="0" w:firstLine="0"/>
            <w:spacing w:line="480" w:lineRule="auto"/>
            <w:rPr>
              <w:color w:val="auto"/>
              <w:highlight w:val="none"/>
              <w:lang w:val="en-US"/>
            </w:rPr>
          </w:pPr>
          <w:r>
            <w:rPr>
              <w:rFonts w:hint="eastAsia"/>
              <w:color w:val="auto"/>
              <w:sz w:val="28"/>
              <w:szCs w:val="28"/>
              <w:highlight w:val="none"/>
              <w:lang w:val="en-US"/>
            </w:rPr>
            <w:fldChar w:fldCharType="end"/>
          </w:r>
          <w:r/>
        </w:p>
      </w:sdtContent>
    </w:sdt>
    <w:p>
      <w:pPr>
        <w:rPr>
          <w:rFonts w:ascii="黑体" w:eastAsia="黑体"/>
          <w:b/>
          <w:color w:val="auto"/>
          <w:sz w:val="36"/>
          <w:highlight w:val="none"/>
        </w:rPr>
      </w:pPr>
      <w:r>
        <w:rPr>
          <w:rFonts w:hint="eastAsia" w:ascii="黑体" w:eastAsia="黑体"/>
          <w:b/>
          <w:color w:val="auto"/>
          <w:sz w:val="36"/>
          <w:highlight w:val="none"/>
        </w:rPr>
        <w:br w:type="page" w:clear="all"/>
      </w:r>
      <w:r/>
    </w:p>
    <w:p>
      <w:pPr>
        <w:jc w:val="center"/>
        <w:spacing w:line="360" w:lineRule="auto"/>
        <w:rPr>
          <w:rFonts w:ascii="黑体" w:eastAsia="黑体"/>
          <w:b/>
          <w:color w:val="auto"/>
          <w:sz w:val="36"/>
          <w:highlight w:val="none"/>
        </w:rPr>
        <w:outlineLvl w:val="0"/>
      </w:pPr>
      <w:r/>
      <w:bookmarkStart w:id="2" w:name="_Toc10358"/>
      <w:r>
        <w:rPr>
          <w:rFonts w:hint="eastAsia" w:ascii="黑体" w:eastAsia="黑体"/>
          <w:b/>
          <w:color w:val="auto"/>
          <w:sz w:val="36"/>
          <w:highlight w:val="none"/>
        </w:rPr>
        <w:t xml:space="preserve">第一章</w:t>
      </w:r>
      <w:bookmarkEnd w:id="2"/>
      <w:r>
        <w:rPr>
          <w:rFonts w:hint="eastAsia" w:ascii="黑体" w:eastAsia="黑体"/>
          <w:b/>
          <w:color w:val="auto"/>
          <w:sz w:val="36"/>
          <w:highlight w:val="none"/>
          <w:lang w:val="en-US"/>
        </w:rPr>
        <w:t xml:space="preserve"> </w:t>
      </w:r>
      <w:r>
        <w:rPr>
          <w:rFonts w:hint="eastAsia" w:ascii="黑体" w:eastAsia="黑体"/>
          <w:b/>
          <w:color w:val="auto"/>
          <w:sz w:val="36"/>
          <w:highlight w:val="none"/>
        </w:rPr>
        <w:t xml:space="preserve">投标邀请</w:t>
      </w:r>
      <w:r/>
    </w:p>
    <w:p>
      <w:pPr>
        <w:ind w:firstLine="482"/>
        <w:jc w:val="both"/>
        <w:spacing w:line="360" w:lineRule="auto"/>
        <w:rPr>
          <w:b/>
          <w:bCs/>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b/>
          <w:bCs/>
          <w:color w:val="auto"/>
          <w:sz w:val="24"/>
          <w:szCs w:val="24"/>
          <w:highlight w:val="none"/>
          <w:lang w:val="en-US" w:bidi="ar-SA"/>
        </w:rPr>
        <w:t xml:space="preserve">项目概况</w:t>
      </w:r>
      <w:r/>
    </w:p>
    <w:p>
      <w:pPr>
        <w:ind w:firstLine="480"/>
        <w:spacing w:line="360" w:lineRule="auto"/>
        <w:rPr>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val="en-US" w:bidi="ar-SA"/>
        </w:rPr>
        <w:t xml:space="preserve">江苏开放大学环境生态学院实验室仪器设备采购</w:t>
      </w:r>
      <w:r>
        <w:rPr>
          <w:rFonts w:hint="eastAsia"/>
          <w:color w:val="auto"/>
          <w:sz w:val="24"/>
          <w:szCs w:val="24"/>
          <w:highlight w:val="none"/>
          <w:lang w:val="en-US" w:bidi="ar-SA"/>
        </w:rPr>
        <w:t xml:space="preserve">的潜在供应商应在</w:t>
      </w:r>
      <w:r>
        <w:rPr>
          <w:rFonts w:hint="eastAsia"/>
          <w:color w:val="auto"/>
          <w:sz w:val="24"/>
          <w:szCs w:val="24"/>
          <w:highlight w:val="none"/>
          <w:u w:val="single"/>
          <w:lang w:val="en-US" w:bidi="ar-SA"/>
        </w:rPr>
        <w:t xml:space="preserve">南京市中山路99号12楼1212室</w:t>
      </w:r>
      <w:r>
        <w:rPr>
          <w:rFonts w:hint="eastAsia"/>
          <w:color w:val="auto"/>
          <w:sz w:val="24"/>
          <w:szCs w:val="24"/>
          <w:highlight w:val="none"/>
          <w:lang w:val="en-US" w:bidi="ar-SA"/>
        </w:rPr>
        <w:t xml:space="preserve">获取招标文件，并于</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5</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8</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9</w:t>
      </w:r>
      <w:r>
        <w:rPr>
          <w:rFonts w:hint="eastAsia"/>
          <w:color w:val="auto"/>
          <w:sz w:val="24"/>
          <w:szCs w:val="24"/>
          <w:highlight w:val="none"/>
          <w:u w:val="single"/>
          <w:lang w:val="en-US" w:bidi="ar-SA"/>
        </w:rPr>
        <w:t xml:space="preserve">点</w:t>
      </w:r>
      <w:r>
        <w:rPr>
          <w:rFonts w:hint="eastAsia"/>
          <w:color w:val="auto"/>
          <w:sz w:val="24"/>
          <w:szCs w:val="24"/>
          <w:highlight w:val="none"/>
          <w:u w:val="single"/>
          <w:lang w:val="en-US" w:eastAsia="zh-CN" w:bidi="ar-SA"/>
        </w:rPr>
        <w:t xml:space="preserve">30</w:t>
      </w:r>
      <w:r>
        <w:rPr>
          <w:rFonts w:hint="eastAsia"/>
          <w:color w:val="auto"/>
          <w:sz w:val="24"/>
          <w:szCs w:val="24"/>
          <w:highlight w:val="none"/>
          <w:u w:val="single"/>
          <w:lang w:val="en-US" w:bidi="ar-SA"/>
        </w:rPr>
        <w:t xml:space="preserve">分</w:t>
      </w:r>
      <w:r>
        <w:rPr>
          <w:rFonts w:hint="eastAsia"/>
          <w:bCs/>
          <w:color w:val="auto"/>
          <w:sz w:val="24"/>
          <w:szCs w:val="24"/>
          <w:highlight w:val="none"/>
          <w:lang w:val="en-US" w:bidi="ar-SA"/>
        </w:rPr>
        <w:t xml:space="preserve">（北京时间）前递交投标文件</w:t>
      </w:r>
      <w:r>
        <w:rPr>
          <w:rFonts w:hint="eastAsia"/>
          <w:color w:val="auto"/>
          <w:sz w:val="24"/>
          <w:szCs w:val="24"/>
          <w:highlight w:val="none"/>
          <w:lang w:val="en-US" w:bidi="ar-SA"/>
        </w:rPr>
        <w:t xml:space="preserve">。</w:t>
      </w:r>
      <w:r/>
    </w:p>
    <w:p>
      <w:pPr>
        <w:ind w:firstLine="482"/>
        <w:spacing w:line="360" w:lineRule="auto"/>
        <w:rPr>
          <w:color w:val="auto"/>
          <w:sz w:val="24"/>
          <w:szCs w:val="24"/>
          <w:highlight w:val="none"/>
        </w:rPr>
      </w:pPr>
      <w:r>
        <w:rPr>
          <w:rFonts w:hint="eastAsia"/>
          <w:b/>
          <w:bCs/>
          <w:color w:val="auto"/>
          <w:sz w:val="24"/>
          <w:szCs w:val="24"/>
          <w:highlight w:val="none"/>
        </w:rPr>
        <w:t xml:space="preserve">一、项目基本情况</w:t>
      </w:r>
      <w:r/>
    </w:p>
    <w:p>
      <w:pPr>
        <w:ind w:firstLine="48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JSZC-320000-SNZX-G2026-0043</w:t>
      </w:r>
      <w:r/>
    </w:p>
    <w:p>
      <w:pPr>
        <w:ind w:firstLine="480"/>
        <w:spacing w:line="360" w:lineRule="auto"/>
        <w:rPr>
          <w:color w:val="auto"/>
          <w:sz w:val="24"/>
          <w:szCs w:val="24"/>
          <w:highlight w:val="none"/>
        </w:rPr>
      </w:pPr>
      <w:r>
        <w:rPr>
          <w:rFonts w:hint="eastAsia"/>
          <w:color w:val="auto"/>
          <w:sz w:val="24"/>
          <w:szCs w:val="24"/>
          <w:highlight w:val="none"/>
        </w:rPr>
        <w:t xml:space="preserve">项目名称：江苏开放大学环境生态学院实验室仪器设备采购</w:t>
      </w:r>
      <w:r/>
    </w:p>
    <w:p>
      <w:pPr>
        <w:ind w:firstLine="48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rPr>
        <w:t xml:space="preserve">277</w:t>
      </w:r>
      <w:r>
        <w:rPr>
          <w:rFonts w:hint="eastAsia"/>
          <w:color w:val="auto"/>
          <w:sz w:val="24"/>
          <w:szCs w:val="24"/>
          <w:highlight w:val="none"/>
        </w:rPr>
        <w:t xml:space="preserve">万元</w:t>
      </w:r>
      <w:r/>
    </w:p>
    <w:p>
      <w:pPr>
        <w:ind w:firstLine="480"/>
        <w:spacing w:line="360" w:lineRule="auto"/>
        <w:rPr>
          <w:color w:val="auto"/>
          <w:sz w:val="24"/>
          <w:szCs w:val="24"/>
          <w:highlight w:val="none"/>
          <w:lang w:val="en-US"/>
        </w:rPr>
      </w:pPr>
      <w:r>
        <w:rPr>
          <w:rFonts w:hint="eastAsia"/>
          <w:color w:val="auto"/>
          <w:sz w:val="24"/>
          <w:szCs w:val="24"/>
          <w:highlight w:val="none"/>
        </w:rPr>
        <w:t xml:space="preserve">最高限价：</w:t>
      </w:r>
      <w:r>
        <w:rPr>
          <w:rFonts w:hint="eastAsia"/>
          <w:color w:val="auto"/>
          <w:sz w:val="24"/>
          <w:szCs w:val="24"/>
          <w:highlight w:val="none"/>
          <w:lang w:val="en-US"/>
        </w:rPr>
        <w:t xml:space="preserve">277</w:t>
      </w:r>
      <w:r>
        <w:rPr>
          <w:rFonts w:hint="eastAsia"/>
          <w:color w:val="auto"/>
          <w:sz w:val="24"/>
          <w:szCs w:val="24"/>
          <w:highlight w:val="none"/>
        </w:rPr>
        <w:t xml:space="preserve">万元，投标总价及分项报</w:t>
      </w:r>
      <w:r>
        <w:rPr>
          <w:rFonts w:hint="eastAsia"/>
          <w:color w:val="auto"/>
          <w:sz w:val="24"/>
          <w:szCs w:val="24"/>
          <w:highlight w:val="none"/>
          <w:lang w:val="en-US"/>
        </w:rPr>
        <w:t xml:space="preserve">价超过最高限价的为无效投标。</w:t>
      </w:r>
      <w:r/>
    </w:p>
    <w:p>
      <w:pPr>
        <w:contextualSpacing/>
        <w:ind w:firstLine="482"/>
        <w:spacing w:line="360" w:lineRule="auto"/>
        <w:rPr>
          <w:color w:val="auto"/>
          <w:sz w:val="24"/>
          <w:szCs w:val="24"/>
          <w:highlight w:val="none"/>
        </w:rPr>
      </w:pPr>
      <w:r>
        <w:rPr>
          <w:rFonts w:hint="eastAsia"/>
          <w:color w:val="auto"/>
          <w:sz w:val="24"/>
          <w:szCs w:val="24"/>
          <w:highlight w:val="none"/>
        </w:rPr>
        <w:t xml:space="preserve">采购需求：</w:t>
      </w:r>
      <w:r>
        <w:rPr>
          <w:rFonts w:hint="eastAsia"/>
          <w:color w:val="auto"/>
          <w:sz w:val="24"/>
          <w:szCs w:val="32"/>
          <w:highlight w:val="none"/>
          <w:lang w:val="en-US"/>
        </w:rPr>
        <w:t xml:space="preserve">江苏开放大学环境生态学院需对浦口校区新建13间实训实验室教室仪器设备采购，其中8间实训室对整体教学环境进行智慧化建设，5间仪器设备耗材室的设备采购，本次项目需配合实验室装修共同完成，满足环境生态学院三个系部正常实验教学。具体内容见招标文件。</w:t>
      </w:r>
      <w:r/>
    </w:p>
    <w:p>
      <w:pPr>
        <w:pStyle w:val="884"/>
        <w:contextualSpacing/>
        <w:ind w:firstLine="482"/>
        <w:spacing w:line="360" w:lineRule="auto"/>
        <w:rPr>
          <w:color w:val="auto"/>
          <w:sz w:val="24"/>
          <w:szCs w:val="24"/>
          <w:highlight w:val="none"/>
          <w:lang w:val="en-US"/>
        </w:rPr>
      </w:pPr>
      <w:r>
        <w:rPr>
          <w:rFonts w:hint="eastAsia"/>
          <w:color w:val="auto"/>
          <w:sz w:val="24"/>
          <w:szCs w:val="24"/>
          <w:highlight w:val="none"/>
          <w:lang w:val="en-US"/>
        </w:rPr>
        <w:t xml:space="preserve">合同履行期限（交付期）</w:t>
      </w:r>
      <w:r>
        <w:rPr>
          <w:rFonts w:hint="eastAsia"/>
          <w:color w:val="auto"/>
          <w:sz w:val="24"/>
          <w:szCs w:val="24"/>
          <w:highlight w:val="none"/>
        </w:rPr>
        <w:t xml:space="preserve">：</w:t>
      </w:r>
      <w:r>
        <w:rPr>
          <w:rFonts w:hint="eastAsia"/>
          <w:color w:val="auto"/>
          <w:sz w:val="24"/>
          <w:szCs w:val="32"/>
          <w:highlight w:val="none"/>
          <w:lang w:val="en-US"/>
        </w:rPr>
        <w:t xml:space="preserve">本项目交付时间自合同签订之日起45个工作日内完成交付、安装调试并验收合格。</w:t>
      </w:r>
      <w:r/>
    </w:p>
    <w:p>
      <w:pPr>
        <w:ind w:firstLine="480"/>
        <w:spacing w:line="360" w:lineRule="auto"/>
        <w:rPr>
          <w:color w:val="auto"/>
          <w:sz w:val="24"/>
          <w:szCs w:val="24"/>
          <w:highlight w:val="none"/>
        </w:rPr>
      </w:pPr>
      <w:r>
        <w:rPr>
          <w:rFonts w:hint="eastAsia"/>
          <w:color w:val="auto"/>
          <w:sz w:val="24"/>
          <w:szCs w:val="24"/>
          <w:highlight w:val="none"/>
        </w:rPr>
        <w:t xml:space="preserve">本项目</w:t>
      </w:r>
      <w:r>
        <w:rPr>
          <w:rFonts w:hint="eastAsia"/>
          <w:b/>
          <w:bCs/>
          <w:color w:val="auto"/>
          <w:sz w:val="24"/>
          <w:szCs w:val="24"/>
          <w:highlight w:val="none"/>
        </w:rPr>
        <w:t xml:space="preserve">不接受</w:t>
      </w:r>
      <w:r>
        <w:rPr>
          <w:rFonts w:hint="eastAsia"/>
          <w:color w:val="auto"/>
          <w:sz w:val="24"/>
          <w:szCs w:val="24"/>
          <w:highlight w:val="none"/>
        </w:rPr>
        <w:t xml:space="preserve">联合体投标。</w:t>
      </w:r>
      <w:r/>
    </w:p>
    <w:p>
      <w:pPr>
        <w:contextualSpacing/>
        <w:ind w:firstLine="482"/>
        <w:spacing w:line="360" w:lineRule="auto"/>
        <w:rPr>
          <w:b/>
          <w:bCs/>
          <w:color w:val="auto"/>
          <w:sz w:val="24"/>
          <w:szCs w:val="24"/>
          <w:highlight w:val="none"/>
        </w:rPr>
      </w:pPr>
      <w:r/>
      <w:bookmarkStart w:id="3" w:name="二、申请人的资格要求："/>
      <w:r/>
      <w:bookmarkEnd w:id="3"/>
      <w:r>
        <w:rPr>
          <w:rFonts w:hint="eastAsia"/>
          <w:b/>
          <w:bCs/>
          <w:color w:val="auto"/>
          <w:sz w:val="24"/>
          <w:szCs w:val="24"/>
          <w:highlight w:val="none"/>
        </w:rPr>
        <w:t xml:space="preserve">二、申请人的资格要求：</w:t>
      </w:r>
      <w:r/>
    </w:p>
    <w:p>
      <w:pPr>
        <w:pStyle w:val="939"/>
        <w:contextualSpacing/>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（一）满足《中华人民共和国政府采购法》第二十二条规定：</w:t>
      </w:r>
      <w:r/>
    </w:p>
    <w:p>
      <w:pPr>
        <w:pStyle w:val="939"/>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1、</w:t>
      </w:r>
      <w:r>
        <w:rPr>
          <w:rFonts w:hint="eastAsia"/>
          <w:color w:val="auto"/>
          <w:sz w:val="24"/>
          <w:szCs w:val="24"/>
          <w:highlight w:val="none"/>
        </w:rPr>
        <w:t xml:space="preserve">具有独立承担民事责任的能力（提供法人或者其他组织的营业执照，自然人的身份证明）</w:t>
      </w:r>
      <w:r>
        <w:rPr>
          <w:color w:val="auto"/>
          <w:sz w:val="24"/>
          <w:szCs w:val="24"/>
          <w:highlight w:val="none"/>
        </w:rPr>
        <w:t xml:space="preserve">；</w:t>
      </w:r>
      <w:r/>
    </w:p>
    <w:p>
      <w:pPr>
        <w:pStyle w:val="939"/>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2、</w:t>
      </w:r>
      <w:r>
        <w:rPr>
          <w:rFonts w:hint="eastAsia"/>
          <w:color w:val="auto"/>
          <w:sz w:val="24"/>
          <w:szCs w:val="24"/>
          <w:highlight w:val="none"/>
        </w:rPr>
        <w:t xml:space="preserve">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w:t>
      </w:r>
      <w:r>
        <w:rPr>
          <w:color w:val="auto"/>
          <w:sz w:val="24"/>
          <w:szCs w:val="24"/>
          <w:highlight w:val="none"/>
        </w:rPr>
        <w:t xml:space="preserve">2024年度</w:t>
      </w:r>
      <w:r>
        <w:rPr>
          <w:rFonts w:hint="eastAsia"/>
          <w:color w:val="auto"/>
          <w:sz w:val="24"/>
          <w:szCs w:val="24"/>
          <w:highlight w:val="none"/>
        </w:rPr>
        <w:t xml:space="preserve">或者2</w:t>
      </w:r>
      <w:r>
        <w:rPr>
          <w:color w:val="auto"/>
          <w:sz w:val="24"/>
          <w:szCs w:val="24"/>
          <w:highlight w:val="none"/>
        </w:rPr>
        <w:t xml:space="preserve">025</w:t>
      </w:r>
      <w:r>
        <w:rPr>
          <w:rFonts w:hint="eastAsia"/>
          <w:color w:val="auto"/>
          <w:sz w:val="24"/>
          <w:szCs w:val="24"/>
          <w:highlight w:val="none"/>
        </w:rPr>
        <w:t xml:space="preserve">年度</w:t>
      </w:r>
      <w:r>
        <w:rPr>
          <w:color w:val="auto"/>
          <w:sz w:val="24"/>
          <w:szCs w:val="24"/>
          <w:highlight w:val="none"/>
        </w:rPr>
        <w:t xml:space="preserve">经审计的财务报告复印件，否则视为未提供）；</w:t>
      </w:r>
      <w:r/>
    </w:p>
    <w:p>
      <w:pPr>
        <w:pStyle w:val="939"/>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3、具有履行合同所必需的设备和专业技术能力（提供履行合同所必需的设备和专业技术能力的声明及证明材料复印件加盖公章）；</w:t>
      </w:r>
      <w:r/>
    </w:p>
    <w:p>
      <w:pPr>
        <w:pStyle w:val="939"/>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4、有依法缴纳税收和社会保障资金的良好记录（提供参加本次采购活动前一年内至少一个月依法缴纳</w:t>
      </w:r>
      <w:r>
        <w:rPr>
          <w:rFonts w:hint="eastAsia"/>
          <w:color w:val="auto"/>
          <w:sz w:val="24"/>
          <w:szCs w:val="24"/>
          <w:highlight w:val="none"/>
          <w:lang w:val="en-US"/>
        </w:rPr>
        <w:t xml:space="preserve">增值税或企业所得税或印花税的凭据，及</w:t>
      </w:r>
      <w:r>
        <w:rPr>
          <w:color w:val="auto"/>
          <w:sz w:val="24"/>
          <w:szCs w:val="24"/>
          <w:highlight w:val="none"/>
        </w:rPr>
        <w:t xml:space="preserve">社会保障资金的相关材料复印件加盖公章）；</w:t>
      </w:r>
      <w:r/>
    </w:p>
    <w:p>
      <w:pPr>
        <w:pStyle w:val="939"/>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5、参加本项目前三年内，在经营活动中没有重大违法记录（</w:t>
      </w:r>
      <w:r>
        <w:rPr>
          <w:rFonts w:hint="eastAsia"/>
          <w:color w:val="auto"/>
          <w:sz w:val="24"/>
          <w:szCs w:val="24"/>
          <w:highlight w:val="none"/>
        </w:rPr>
        <w:t xml:space="preserve">提供参加本次采购活动前三年内在经营活动中没有重大违法记录的声明</w:t>
      </w:r>
      <w:r>
        <w:rPr>
          <w:color w:val="auto"/>
          <w:sz w:val="24"/>
          <w:szCs w:val="24"/>
          <w:highlight w:val="none"/>
        </w:rPr>
        <w:t xml:space="preserve">）；</w:t>
      </w:r>
      <w:r/>
    </w:p>
    <w:p>
      <w:pPr>
        <w:pStyle w:val="939"/>
        <w:contextualSpacing/>
        <w:ind w:firstLine="480"/>
        <w:spacing w:line="360" w:lineRule="auto"/>
        <w:tabs>
          <w:tab w:val="left" w:pos="1061" w:leader="none"/>
        </w:tabs>
        <w:rPr>
          <w:color w:val="auto"/>
          <w:sz w:val="24"/>
          <w:szCs w:val="24"/>
          <w:highlight w:val="none"/>
        </w:rPr>
      </w:pPr>
      <w:r>
        <w:rPr>
          <w:color w:val="auto"/>
          <w:sz w:val="24"/>
          <w:szCs w:val="24"/>
          <w:highlight w:val="none"/>
        </w:rPr>
        <w:t xml:space="preserve">6、法律、行政法规规定的其他条件。</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（二）落实政府采购政策需满足的资格要求：</w:t>
      </w:r>
      <w:r/>
    </w:p>
    <w:p>
      <w:pPr>
        <w:contextualSpacing/>
        <w:ind w:firstLine="660"/>
        <w:spacing w:line="360" w:lineRule="auto"/>
        <w:tabs>
          <w:tab w:val="left" w:pos="1061" w:leader="none"/>
        </w:tabs>
        <w:rPr>
          <w:color w:val="auto"/>
          <w:sz w:val="24"/>
          <w:szCs w:val="24"/>
          <w:highlight w:val="none"/>
        </w:rPr>
      </w:pPr>
      <w:r>
        <w:rPr>
          <w:rFonts w:hint="eastAsia"/>
          <w:color w:val="auto"/>
          <w:sz w:val="24"/>
          <w:szCs w:val="24"/>
          <w:highlight w:val="none"/>
        </w:rPr>
        <w:t xml:space="preserve">本项目不属于专门面向中小企业采购项目，执行价格扣除优惠政策，具体详见第三章。</w:t>
      </w:r>
      <w:r/>
    </w:p>
    <w:p>
      <w:pPr>
        <w:pStyle w:val="939"/>
        <w:ind w:left="0" w:firstLine="480"/>
        <w:spacing w:line="360" w:lineRule="auto"/>
        <w:tabs>
          <w:tab w:val="left" w:pos="1061" w:leader="none"/>
        </w:tabs>
        <w:rPr>
          <w:color w:val="auto"/>
          <w:sz w:val="24"/>
          <w:szCs w:val="24"/>
          <w:highlight w:val="none"/>
        </w:rPr>
      </w:pPr>
      <w:r>
        <w:rPr>
          <w:rFonts w:hint="eastAsia"/>
          <w:color w:val="auto"/>
          <w:sz w:val="24"/>
          <w:szCs w:val="24"/>
          <w:highlight w:val="none"/>
        </w:rPr>
        <w:t xml:space="preserve">（三）本项目的特定资格要求：</w:t>
      </w:r>
      <w:bookmarkStart w:id="4" w:name="三、获取招标文件"/>
      <w:r/>
      <w:bookmarkEnd w:id="4"/>
      <w:r>
        <w:rPr>
          <w:rFonts w:hint="eastAsia"/>
          <w:color w:val="auto"/>
          <w:sz w:val="24"/>
          <w:szCs w:val="24"/>
          <w:highlight w:val="none"/>
          <w:lang w:val="en-US"/>
        </w:rPr>
        <w:t xml:space="preserve">无</w:t>
      </w:r>
      <w:r>
        <w:rPr>
          <w:rFonts w:hint="eastAsia"/>
          <w:color w:val="auto"/>
          <w:sz w:val="24"/>
          <w:szCs w:val="24"/>
          <w:highlight w:val="none"/>
        </w:rPr>
        <w:t xml:space="preserve"> </w:t>
      </w:r>
      <w:r/>
    </w:p>
    <w:p>
      <w:pPr>
        <w:pStyle w:val="939"/>
        <w:ind w:left="0" w:firstLine="482"/>
        <w:spacing w:line="360" w:lineRule="auto"/>
        <w:tabs>
          <w:tab w:val="left" w:pos="1061" w:leader="none"/>
        </w:tabs>
        <w:rPr>
          <w:b/>
          <w:bCs/>
          <w:color w:val="auto"/>
          <w:sz w:val="24"/>
          <w:szCs w:val="24"/>
          <w:highlight w:val="none"/>
        </w:rPr>
      </w:pPr>
      <w:r>
        <w:rPr>
          <w:rFonts w:hint="eastAsia"/>
          <w:b/>
          <w:bCs/>
          <w:color w:val="auto"/>
          <w:sz w:val="24"/>
          <w:szCs w:val="24"/>
          <w:highlight w:val="none"/>
        </w:rPr>
        <w:t xml:space="preserve">三、获取采购文件</w:t>
      </w:r>
      <w:r/>
    </w:p>
    <w:p>
      <w:pPr>
        <w:ind w:firstLine="482"/>
        <w:spacing w:line="360" w:lineRule="auto"/>
        <w:rPr>
          <w:rFonts w:asciiTheme="minorEastAsia" w:hAnsiTheme="minorEastAsia" w:eastAsiaTheme="minorEastAsia"/>
          <w:color w:val="auto"/>
          <w:sz w:val="24"/>
          <w:szCs w:val="24"/>
          <w:highlight w:val="none"/>
          <w:lang w:val="en-US"/>
        </w:rPr>
      </w:pPr>
      <w:r/>
      <w:bookmarkStart w:id="5" w:name="四、提交投标文件截止时间、开标时间和地点"/>
      <w:r/>
      <w:bookmarkEnd w:id="5"/>
      <w:r>
        <w:rPr>
          <w:rFonts w:hint="eastAsia" w:asciiTheme="minorEastAsia" w:hAnsiTheme="minorEastAsia" w:eastAsiaTheme="minorEastAsia"/>
          <w:color w:val="auto"/>
          <w:sz w:val="24"/>
          <w:szCs w:val="24"/>
          <w:highlight w:val="none"/>
          <w:lang w:val="en-US"/>
        </w:rPr>
        <w:t xml:space="preserve">时间：自招标文件公告发布之日起</w:t>
      </w:r>
      <w:r>
        <w:rPr>
          <w:rFonts w:asciiTheme="minorEastAsia" w:hAnsiTheme="minorEastAsia" w:eastAsiaTheme="minorEastAsia"/>
          <w:color w:val="auto"/>
          <w:sz w:val="24"/>
          <w:szCs w:val="24"/>
          <w:highlight w:val="none"/>
          <w:lang w:val="en-US"/>
        </w:rPr>
        <w:t xml:space="preserve">5个工作日</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地点：江苏政府采购网苏采云系统</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方式：网上下载</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售价：</w:t>
      </w:r>
      <w:r>
        <w:rPr>
          <w:rFonts w:asciiTheme="minorEastAsia" w:hAnsiTheme="minorEastAsia" w:eastAsiaTheme="minorEastAsia"/>
          <w:color w:val="auto"/>
          <w:sz w:val="24"/>
          <w:szCs w:val="24"/>
          <w:highlight w:val="none"/>
          <w:lang w:val="en-US"/>
        </w:rPr>
        <w:t xml:space="preserve">0元</w:t>
      </w:r>
      <w:r/>
    </w:p>
    <w:p>
      <w:pPr>
        <w:ind w:firstLine="482"/>
        <w:spacing w:line="360" w:lineRule="auto"/>
        <w:rPr>
          <w:b/>
          <w:bCs/>
          <w:color w:val="auto"/>
          <w:sz w:val="24"/>
          <w:szCs w:val="24"/>
          <w:highlight w:val="none"/>
        </w:rPr>
      </w:pPr>
      <w:r>
        <w:rPr>
          <w:rFonts w:hint="eastAsia"/>
          <w:b/>
          <w:bCs/>
          <w:color w:val="auto"/>
          <w:sz w:val="24"/>
          <w:szCs w:val="24"/>
          <w:highlight w:val="none"/>
        </w:rPr>
        <w:t xml:space="preserve">四、提交投标文件截止时间、开标时间和地点</w:t>
      </w:r>
      <w:r/>
    </w:p>
    <w:p>
      <w:pPr>
        <w:ind w:firstLine="480"/>
        <w:spacing w:line="360" w:lineRule="auto"/>
        <w:rPr>
          <w:color w:val="auto"/>
          <w:sz w:val="24"/>
          <w:szCs w:val="24"/>
          <w:highlight w:val="none"/>
        </w:rPr>
      </w:pPr>
      <w:r>
        <w:rPr>
          <w:rFonts w:hint="eastAsia"/>
          <w:color w:val="auto"/>
          <w:sz w:val="24"/>
          <w:szCs w:val="24"/>
          <w:highlight w:val="none"/>
        </w:rPr>
        <w:t xml:space="preserve">时间：</w:t>
      </w:r>
      <w:r>
        <w:rPr>
          <w:rFonts w:hint="eastAsia"/>
          <w:color w:val="auto"/>
          <w:sz w:val="24"/>
          <w:szCs w:val="24"/>
          <w:highlight w:val="none"/>
          <w:u w:val="single"/>
          <w:lang w:val="en-US" w:bidi="ar-SA"/>
        </w:rPr>
        <w:t xml:space="preserve">2026年</w:t>
      </w:r>
      <w:r>
        <w:rPr>
          <w:rFonts w:hint="eastAsia"/>
          <w:color w:val="auto"/>
          <w:sz w:val="24"/>
          <w:szCs w:val="24"/>
          <w:highlight w:val="none"/>
          <w:u w:val="single"/>
          <w:lang w:val="en-US" w:eastAsia="zh-CN" w:bidi="ar-SA"/>
        </w:rPr>
        <w:t xml:space="preserve">5</w:t>
      </w:r>
      <w:r>
        <w:rPr>
          <w:rFonts w:hint="eastAsia"/>
          <w:color w:val="auto"/>
          <w:sz w:val="24"/>
          <w:szCs w:val="24"/>
          <w:highlight w:val="none"/>
          <w:u w:val="single"/>
          <w:lang w:val="en-US" w:bidi="ar-SA"/>
        </w:rPr>
        <w:t xml:space="preserve">月</w:t>
      </w:r>
      <w:r>
        <w:rPr>
          <w:rFonts w:hint="eastAsia"/>
          <w:color w:val="auto"/>
          <w:sz w:val="24"/>
          <w:szCs w:val="24"/>
          <w:highlight w:val="none"/>
          <w:u w:val="single"/>
          <w:lang w:val="en-US" w:eastAsia="zh-CN" w:bidi="ar-SA"/>
        </w:rPr>
        <w:t xml:space="preserve">8</w:t>
      </w:r>
      <w:r>
        <w:rPr>
          <w:rFonts w:hint="eastAsia"/>
          <w:color w:val="auto"/>
          <w:sz w:val="24"/>
          <w:szCs w:val="24"/>
          <w:highlight w:val="none"/>
          <w:u w:val="single"/>
          <w:lang w:val="en-US" w:bidi="ar-SA"/>
        </w:rPr>
        <w:t xml:space="preserve">日</w:t>
      </w:r>
      <w:r>
        <w:rPr>
          <w:rFonts w:hint="eastAsia"/>
          <w:color w:val="auto"/>
          <w:sz w:val="24"/>
          <w:szCs w:val="24"/>
          <w:highlight w:val="none"/>
          <w:u w:val="single"/>
          <w:lang w:val="en-US" w:eastAsia="zh-CN" w:bidi="ar-SA"/>
        </w:rPr>
        <w:t xml:space="preserve">9</w:t>
      </w:r>
      <w:r>
        <w:rPr>
          <w:rFonts w:hint="eastAsia"/>
          <w:color w:val="auto"/>
          <w:sz w:val="24"/>
          <w:szCs w:val="24"/>
          <w:highlight w:val="none"/>
          <w:u w:val="single"/>
          <w:lang w:val="en-US" w:bidi="ar-SA"/>
        </w:rPr>
        <w:t xml:space="preserve">点</w:t>
      </w:r>
      <w:r>
        <w:rPr>
          <w:rFonts w:hint="eastAsia"/>
          <w:color w:val="auto"/>
          <w:sz w:val="24"/>
          <w:szCs w:val="24"/>
          <w:highlight w:val="none"/>
          <w:u w:val="single"/>
          <w:lang w:val="en-US" w:eastAsia="zh-CN" w:bidi="ar-SA"/>
        </w:rPr>
        <w:t xml:space="preserve">30</w:t>
      </w:r>
      <w:r>
        <w:rPr>
          <w:rFonts w:hint="eastAsia"/>
          <w:color w:val="auto"/>
          <w:sz w:val="24"/>
          <w:szCs w:val="24"/>
          <w:highlight w:val="none"/>
          <w:u w:val="single"/>
          <w:lang w:val="en-US" w:bidi="ar-SA"/>
        </w:rPr>
        <w:t xml:space="preserve">分</w:t>
      </w:r>
      <w:r>
        <w:rPr>
          <w:rFonts w:hint="eastAsia"/>
          <w:color w:val="auto"/>
          <w:sz w:val="24"/>
          <w:szCs w:val="24"/>
          <w:highlight w:val="none"/>
        </w:rPr>
        <w:t xml:space="preserve">（北京时间）</w:t>
      </w:r>
      <w:r/>
    </w:p>
    <w:p>
      <w:pPr>
        <w:ind w:firstLine="480"/>
        <w:spacing w:line="360" w:lineRule="auto"/>
        <w:rPr>
          <w:color w:val="auto"/>
          <w:sz w:val="24"/>
          <w:szCs w:val="24"/>
          <w:highlight w:val="none"/>
          <w:lang w:val="en-US"/>
        </w:rPr>
      </w:pPr>
      <w:r>
        <w:rPr>
          <w:rFonts w:hint="eastAsia"/>
          <w:color w:val="auto"/>
          <w:sz w:val="24"/>
          <w:szCs w:val="24"/>
          <w:highlight w:val="none"/>
        </w:rPr>
        <w:t xml:space="preserve">地点：</w:t>
      </w:r>
      <w:r>
        <w:rPr>
          <w:rFonts w:hint="eastAsia"/>
          <w:color w:val="auto"/>
          <w:sz w:val="24"/>
          <w:szCs w:val="24"/>
          <w:highlight w:val="none"/>
          <w:u w:val="single"/>
          <w:lang w:val="en-US"/>
        </w:rPr>
        <w:t xml:space="preserve">江苏省政府采购交易系统（以下简称“苏采云系统”）网上开标大厅</w:t>
      </w:r>
      <w:r/>
    </w:p>
    <w:p>
      <w:pPr>
        <w:ind w:firstLine="482"/>
        <w:spacing w:line="360" w:lineRule="auto"/>
        <w:rPr>
          <w:b/>
          <w:bCs/>
          <w:color w:val="auto"/>
          <w:sz w:val="24"/>
          <w:szCs w:val="24"/>
          <w:highlight w:val="none"/>
        </w:rPr>
      </w:pPr>
      <w:r>
        <w:rPr>
          <w:rFonts w:hint="eastAsia"/>
          <w:b/>
          <w:bCs/>
          <w:color w:val="auto"/>
          <w:sz w:val="24"/>
          <w:szCs w:val="24"/>
          <w:highlight w:val="none"/>
        </w:rPr>
        <w:t xml:space="preserve">五、公告期限</w:t>
      </w:r>
      <w:r/>
    </w:p>
    <w:p>
      <w:pPr>
        <w:ind w:firstLine="480"/>
        <w:spacing w:line="360" w:lineRule="auto"/>
        <w:rPr>
          <w:color w:val="auto"/>
          <w:sz w:val="28"/>
          <w:szCs w:val="28"/>
          <w:highlight w:val="none"/>
        </w:rPr>
      </w:pPr>
      <w:r>
        <w:rPr>
          <w:rFonts w:hint="eastAsia"/>
          <w:color w:val="auto"/>
          <w:sz w:val="24"/>
          <w:szCs w:val="24"/>
          <w:highlight w:val="none"/>
        </w:rPr>
        <w:t xml:space="preserve">自本公告发布之日起5个工作日。</w:t>
      </w:r>
      <w:r/>
    </w:p>
    <w:p>
      <w:pPr>
        <w:ind w:firstLine="482"/>
        <w:spacing w:line="360" w:lineRule="auto"/>
        <w:rPr>
          <w:b/>
          <w:bCs/>
          <w:color w:val="auto"/>
          <w:sz w:val="24"/>
          <w:szCs w:val="24"/>
          <w:highlight w:val="none"/>
        </w:rPr>
      </w:pPr>
      <w:r>
        <w:rPr>
          <w:rFonts w:hint="eastAsia"/>
          <w:b/>
          <w:bCs/>
          <w:color w:val="auto"/>
          <w:sz w:val="24"/>
          <w:szCs w:val="24"/>
          <w:highlight w:val="none"/>
        </w:rPr>
        <w:t xml:space="preserve">六、其他补充事宜</w:t>
      </w:r>
      <w:r/>
    </w:p>
    <w:p>
      <w:pPr>
        <w:ind w:firstLine="480"/>
        <w:spacing w:line="360" w:lineRule="auto"/>
        <w:rPr>
          <w:color w:val="auto"/>
          <w:sz w:val="24"/>
          <w:szCs w:val="24"/>
          <w:highlight w:val="none"/>
          <w:lang w:val="en-US"/>
        </w:rPr>
      </w:pPr>
      <w:r/>
      <w:bookmarkStart w:id="6" w:name="七、对本次招标提出询问，请按以下方式联系。"/>
      <w:r/>
      <w:bookmarkEnd w:id="6"/>
      <w:r/>
      <w:bookmarkStart w:id="7" w:name="OLE_LINK4"/>
      <w:r>
        <w:rPr>
          <w:rFonts w:hint="eastAsia"/>
          <w:color w:val="auto"/>
          <w:sz w:val="24"/>
          <w:szCs w:val="24"/>
          <w:highlight w:val="none"/>
          <w:lang w:val="en-US"/>
        </w:rPr>
        <w:t xml:space="preserve">1、</w:t>
      </w:r>
      <w:r>
        <w:rPr>
          <w:color w:val="auto"/>
          <w:sz w:val="24"/>
          <w:szCs w:val="24"/>
          <w:highlight w:val="none"/>
          <w:lang w:val="en-US"/>
        </w:rPr>
        <w:t xml:space="preserve">其他要求：</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（1）供应商在参加政府采购活动前</w:t>
      </w:r>
      <w:r>
        <w:rPr>
          <w:color w:val="auto"/>
          <w:sz w:val="24"/>
          <w:szCs w:val="24"/>
          <w:highlight w:val="none"/>
          <w:lang w:val="en-US"/>
        </w:rPr>
        <w:t xml:space="preserve">3年内因违法经营被禁止在一定期限内参加政府采购活动，期限届满的，可以参加政府采购活动。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（2）单位负责人为同一人或者存在直接控股、管理关系的不同厂商，不得参加同一合同项下的政府采购活动。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（3）为采购项目提供整体设计、规范编制或者项目管理、监理、检测等服务的厂商，不得再参加该采购项目的其他采购活动。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（4）拒绝列入失信被执行人、重大税收违法案件当事人名单、政府采购严重违法失信行为记录名单的厂商参与政府采购活动。（供应商信用记录查询渠道：“中国政府采购</w:t>
      </w:r>
      <w:r>
        <w:rPr>
          <w:rFonts w:hint="eastAsia"/>
          <w:color w:val="auto"/>
          <w:sz w:val="24"/>
          <w:szCs w:val="24"/>
          <w:highlight w:val="none"/>
          <w:lang w:val="en-US"/>
        </w:rPr>
        <w:t xml:space="preserve">网”、“信用中国”网站等）。</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2、集中考察或答疑：本项目组织统一踏勘现场，时</w:t>
      </w:r>
      <w:r>
        <w:rPr>
          <w:rFonts w:hint="eastAsia"/>
          <w:color w:val="auto"/>
          <w:sz w:val="24"/>
          <w:szCs w:val="24"/>
          <w:highlight w:val="none"/>
          <w:lang w:val="en-US"/>
        </w:rPr>
        <w:t xml:space="preserve">间</w:t>
      </w:r>
      <w:r>
        <w:rPr>
          <w:color w:val="auto"/>
          <w:sz w:val="24"/>
          <w:szCs w:val="24"/>
          <w:highlight w:val="none"/>
          <w:lang w:val="en-US"/>
        </w:rPr>
        <w:t xml:space="preserve">2026年</w:t>
      </w:r>
      <w:r>
        <w:rPr>
          <w:rFonts w:hint="eastAsia"/>
          <w:color w:val="auto"/>
          <w:sz w:val="24"/>
          <w:szCs w:val="24"/>
          <w:highlight w:val="none"/>
          <w:lang w:val="en-US" w:eastAsia="zh-CN"/>
        </w:rPr>
        <w:t xml:space="preserve">4</w:t>
      </w:r>
      <w:r>
        <w:rPr>
          <w:color w:val="auto"/>
          <w:sz w:val="24"/>
          <w:szCs w:val="24"/>
          <w:highlight w:val="none"/>
          <w:lang w:val="en-US"/>
        </w:rPr>
        <w:t xml:space="preserve">月</w:t>
      </w:r>
      <w:r>
        <w:rPr>
          <w:rFonts w:hint="eastAsia"/>
          <w:color w:val="auto"/>
          <w:sz w:val="24"/>
          <w:szCs w:val="24"/>
          <w:highlight w:val="none"/>
          <w:lang w:val="en-US" w:eastAsia="zh-CN"/>
        </w:rPr>
        <w:t xml:space="preserve">24</w:t>
      </w:r>
      <w:r>
        <w:rPr>
          <w:color w:val="auto"/>
          <w:sz w:val="24"/>
          <w:szCs w:val="24"/>
          <w:highlight w:val="none"/>
          <w:lang w:val="en-US"/>
        </w:rPr>
        <w:t xml:space="preserve">日上午9:00至9:30</w:t>
      </w:r>
      <w:r>
        <w:rPr>
          <w:rFonts w:hint="eastAsia"/>
          <w:color w:val="auto"/>
          <w:sz w:val="24"/>
          <w:szCs w:val="24"/>
          <w:highlight w:val="none"/>
          <w:lang w:val="en-US"/>
        </w:rPr>
        <w:t xml:space="preserve">，地址：</w:t>
      </w:r>
      <w:r>
        <w:rPr>
          <w:rFonts w:hint="eastAsia"/>
          <w:color w:val="auto"/>
          <w:sz w:val="24"/>
          <w:szCs w:val="24"/>
          <w:highlight w:val="none"/>
          <w:lang w:val="en-US" w:eastAsia="zh-CN"/>
        </w:rPr>
        <w:t xml:space="preserve">南京市浦口区桥林街道桥林街明因路601号 江苏开放大学（桥林校区）C4实验楼南楼，</w:t>
      </w:r>
      <w:r>
        <w:rPr>
          <w:color w:val="auto"/>
          <w:sz w:val="24"/>
          <w:szCs w:val="24"/>
          <w:highlight w:val="none"/>
          <w:lang w:val="en-US"/>
        </w:rPr>
        <w:t xml:space="preserve"> </w:t>
      </w:r>
      <w:r>
        <w:rPr>
          <w:rFonts w:hint="eastAsia"/>
          <w:color w:val="auto"/>
          <w:sz w:val="24"/>
          <w:szCs w:val="24"/>
          <w:highlight w:val="none"/>
          <w:lang w:val="en-US"/>
        </w:rPr>
        <w:t xml:space="preserve">联系电话：</w:t>
      </w:r>
      <w:r>
        <w:rPr>
          <w:rFonts w:hint="eastAsia"/>
          <w:color w:val="auto"/>
          <w:sz w:val="24"/>
          <w:szCs w:val="24"/>
          <w:highlight w:val="none"/>
          <w:lang w:val="en-US" w:eastAsia="zh-CN"/>
        </w:rPr>
        <w:t xml:space="preserve">14751686688</w:t>
      </w:r>
      <w:r>
        <w:rPr>
          <w:rFonts w:hint="eastAsia"/>
          <w:color w:val="auto"/>
          <w:sz w:val="24"/>
          <w:szCs w:val="24"/>
          <w:highlight w:val="none"/>
          <w:lang w:val="en-US"/>
        </w:rPr>
        <w:t xml:space="preserve"> 。建</w:t>
      </w:r>
      <w:r>
        <w:rPr>
          <w:rFonts w:hint="eastAsia"/>
          <w:color w:val="auto"/>
          <w:sz w:val="24"/>
          <w:szCs w:val="24"/>
          <w:highlight w:val="none"/>
          <w:lang w:val="en-US"/>
        </w:rPr>
        <w:t xml:space="preserve">议各投标人应根据自身情况，在提交投标文件前勘察现场，对实际场地和施工量的测量，未踏勘现场或踏勘工作不详细的供应商中标后，不得以不了解现场情况为由向采购人提出任何索赔或其他要求，对此采购人不承担任何责任。</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3、供应商通过“苏采云”（网址：</w:t>
      </w:r>
      <w:r>
        <w:rPr>
          <w:color w:val="auto"/>
          <w:sz w:val="24"/>
          <w:szCs w:val="24"/>
          <w:highlight w:val="none"/>
          <w:lang w:val="en-US"/>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操作手册下载地址：</w:t>
      </w:r>
      <w:r>
        <w:rPr>
          <w:color w:val="auto"/>
          <w:sz w:val="24"/>
          <w:szCs w:val="24"/>
          <w:highlight w:val="none"/>
          <w:lang w:val="en-US"/>
        </w:rPr>
        <w:t xml:space="preserve">http://www.ccgp-jiangsu.gov.cn/jiangsu/zlxz/ee/ee3a4bc5a3454aa2b0d9312230633ce9.html</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首次登录“苏采云”系统的新用户，登录网址后，点击“用户注册”</w:t>
      </w:r>
      <w:r>
        <w:rPr>
          <w:color w:val="auto"/>
          <w:sz w:val="24"/>
          <w:szCs w:val="24"/>
          <w:highlight w:val="none"/>
          <w:lang w:val="en-US"/>
        </w:rPr>
        <w:t xml:space="preserve">--“新CA办理指南”--获取CA后绑定、登录系统--采购项目参与--下载采购文件（文件后缀名为“.kedt”）。</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“苏采云”南京地区客服热线</w:t>
      </w:r>
      <w:r>
        <w:rPr>
          <w:color w:val="auto"/>
          <w:sz w:val="24"/>
          <w:szCs w:val="24"/>
          <w:highlight w:val="none"/>
          <w:lang w:val="en-US"/>
        </w:rPr>
        <w:t xml:space="preserve">025-83633744、025-83633</w:t>
      </w:r>
      <w:r>
        <w:rPr>
          <w:rFonts w:hint="eastAsia"/>
          <w:color w:val="auto"/>
          <w:sz w:val="24"/>
          <w:szCs w:val="24"/>
          <w:highlight w:val="none"/>
          <w:lang w:val="en-US"/>
        </w:rPr>
        <w:t xml:space="preserve">4</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4、公告媒体</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（1）本招标公告在江苏政府采购网公示发布，敬请各供应商关注；</w:t>
      </w:r>
      <w:r/>
    </w:p>
    <w:p>
      <w:pPr>
        <w:pStyle w:val="884"/>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（2）若有关本次招标存在变动或修改，敬请各供应商及时关注江苏政府采购网发布的关于本项目的信息更正公告。</w:t>
      </w:r>
      <w:r/>
    </w:p>
    <w:p>
      <w:pPr>
        <w:pStyle w:val="884"/>
        <w:contextualSpacing/>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采购项目需要落实的政府采购政策</w:t>
      </w:r>
      <w:r/>
    </w:p>
    <w:p>
      <w:pPr>
        <w:ind w:firstLine="560"/>
        <w:spacing w:line="360" w:lineRule="auto"/>
        <w:rPr>
          <w:color w:val="auto"/>
          <w:sz w:val="24"/>
          <w:szCs w:val="24"/>
          <w:highlight w:val="none"/>
        </w:rPr>
      </w:pPr>
      <w:r>
        <w:rPr>
          <w:rFonts w:hint="eastAsia"/>
          <w:color w:val="auto"/>
          <w:sz w:val="24"/>
          <w:szCs w:val="24"/>
          <w:highlight w:val="none"/>
        </w:rPr>
        <w:t xml:space="preserve">（1）政府采购促进中小企业发展</w:t>
      </w:r>
      <w:r/>
    </w:p>
    <w:p>
      <w:pPr>
        <w:ind w:firstLine="560"/>
        <w:spacing w:line="360" w:lineRule="auto"/>
        <w:rPr>
          <w:color w:val="auto"/>
          <w:sz w:val="24"/>
          <w:szCs w:val="24"/>
          <w:highlight w:val="none"/>
        </w:rPr>
      </w:pPr>
      <w:r>
        <w:rPr>
          <w:rFonts w:hint="eastAsia"/>
          <w:color w:val="auto"/>
          <w:sz w:val="24"/>
          <w:szCs w:val="24"/>
          <w:highlight w:val="none"/>
        </w:rPr>
        <w:t xml:space="preserve">（2）政府采购支持监狱企业发展</w:t>
      </w:r>
      <w:r/>
    </w:p>
    <w:p>
      <w:pPr>
        <w:ind w:firstLine="560"/>
        <w:spacing w:line="360" w:lineRule="auto"/>
        <w:rPr>
          <w:color w:val="auto"/>
          <w:sz w:val="24"/>
          <w:szCs w:val="24"/>
          <w:highlight w:val="none"/>
        </w:rPr>
      </w:pPr>
      <w:r>
        <w:rPr>
          <w:rFonts w:hint="eastAsia"/>
          <w:color w:val="auto"/>
          <w:sz w:val="24"/>
          <w:szCs w:val="24"/>
          <w:highlight w:val="none"/>
        </w:rPr>
        <w:t xml:space="preserve">（3）政府采购促进残疾人就业</w:t>
      </w:r>
      <w:r/>
    </w:p>
    <w:p>
      <w:pPr>
        <w:pStyle w:val="884"/>
        <w:contextualSpacing/>
        <w:ind w:firstLine="480"/>
        <w:spacing w:line="360" w:lineRule="auto"/>
        <w:rPr>
          <w:color w:val="auto"/>
          <w:sz w:val="24"/>
          <w:szCs w:val="24"/>
          <w:highlight w:val="none"/>
          <w:lang w:val="en-US"/>
        </w:rPr>
      </w:pPr>
      <w:r>
        <w:rPr>
          <w:rFonts w:hint="eastAsia"/>
          <w:color w:val="auto"/>
          <w:sz w:val="24"/>
          <w:szCs w:val="24"/>
          <w:highlight w:val="none"/>
        </w:rPr>
        <w:t xml:space="preserve">（4）政府采购鼓励采购节能环保产品</w:t>
      </w:r>
      <w:r/>
    </w:p>
    <w:p>
      <w:pPr>
        <w:pStyle w:val="884"/>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6、</w:t>
      </w:r>
      <w:r>
        <w:rPr>
          <w:color w:val="auto"/>
          <w:sz w:val="24"/>
          <w:szCs w:val="24"/>
          <w:highlight w:val="none"/>
          <w:lang w:val="en-US"/>
        </w:rPr>
        <w:t xml:space="preserve">是否接受进口产品：不接受。</w:t>
      </w:r>
      <w:r/>
    </w:p>
    <w:p>
      <w:pPr>
        <w:pStyle w:val="884"/>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7</w:t>
      </w:r>
      <w:r>
        <w:rPr>
          <w:color w:val="auto"/>
          <w:sz w:val="24"/>
          <w:szCs w:val="24"/>
          <w:highlight w:val="none"/>
          <w:lang w:val="en-US"/>
        </w:rPr>
        <w:t xml:space="preserve">、</w:t>
      </w:r>
      <w:r>
        <w:rPr>
          <w:rFonts w:hint="eastAsia"/>
          <w:color w:val="auto"/>
          <w:sz w:val="24"/>
          <w:szCs w:val="24"/>
          <w:highlight w:val="none"/>
          <w:lang w:val="en-US"/>
        </w:rPr>
        <w:t xml:space="preserve">本项目所属行业</w:t>
      </w:r>
      <w:r>
        <w:rPr>
          <w:color w:val="auto"/>
          <w:sz w:val="24"/>
          <w:szCs w:val="24"/>
          <w:highlight w:val="none"/>
          <w:lang w:val="en-US"/>
        </w:rPr>
        <w:t xml:space="preserve">：</w:t>
      </w:r>
      <w:r>
        <w:rPr>
          <w:rFonts w:hint="eastAsia"/>
          <w:color w:val="auto"/>
          <w:sz w:val="24"/>
          <w:szCs w:val="24"/>
          <w:highlight w:val="none"/>
          <w:lang w:val="en-US"/>
        </w:rPr>
        <w:t xml:space="preserve">工业</w:t>
      </w:r>
      <w:r>
        <w:rPr>
          <w:color w:val="auto"/>
          <w:sz w:val="24"/>
          <w:szCs w:val="24"/>
          <w:highlight w:val="none"/>
          <w:lang w:val="en-US"/>
        </w:rPr>
        <w:t xml:space="preserve">。</w:t>
      </w:r>
      <w:bookmarkEnd w:id="7"/>
      <w:r/>
      <w:r/>
    </w:p>
    <w:p>
      <w:pPr>
        <w:ind w:firstLine="482"/>
        <w:spacing w:line="360" w:lineRule="auto"/>
        <w:rPr>
          <w:b/>
          <w:bCs/>
          <w:color w:val="auto"/>
          <w:sz w:val="24"/>
          <w:szCs w:val="24"/>
          <w:highlight w:val="none"/>
        </w:rPr>
      </w:pPr>
      <w:r>
        <w:rPr>
          <w:rFonts w:hint="eastAsia"/>
          <w:b/>
          <w:bCs/>
          <w:color w:val="auto"/>
          <w:sz w:val="24"/>
          <w:szCs w:val="24"/>
          <w:highlight w:val="none"/>
        </w:rPr>
        <w:t xml:space="preserve">七、凡对本次采购提出询问，请按以下方式联系。</w:t>
      </w:r>
      <w:r/>
    </w:p>
    <w:p>
      <w:pPr>
        <w:ind w:firstLine="480"/>
        <w:spacing w:line="360" w:lineRule="auto"/>
        <w:rPr>
          <w:color w:val="auto"/>
          <w:sz w:val="24"/>
          <w:szCs w:val="24"/>
          <w:highlight w:val="none"/>
        </w:rPr>
      </w:pPr>
      <w:r>
        <w:rPr>
          <w:rFonts w:hint="eastAsia"/>
          <w:color w:val="auto"/>
          <w:sz w:val="24"/>
          <w:szCs w:val="24"/>
          <w:highlight w:val="none"/>
          <w:lang w:val="en-US"/>
        </w:rPr>
        <w:t xml:space="preserve">1、</w:t>
      </w:r>
      <w:r>
        <w:rPr>
          <w:rFonts w:hint="eastAsia"/>
          <w:color w:val="auto"/>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auto"/>
          <w:sz w:val="24"/>
          <w:szCs w:val="24"/>
          <w:highlight w:val="none"/>
          <w:u w:val="single"/>
        </w:rPr>
      </w:pPr>
      <w:r>
        <w:rPr>
          <w:rFonts w:hint="eastAsia"/>
          <w:color w:val="auto"/>
          <w:sz w:val="24"/>
          <w:szCs w:val="24"/>
          <w:highlight w:val="none"/>
        </w:rPr>
        <w:t xml:space="preserve">名 称：</w:t>
      </w:r>
      <w:r>
        <w:rPr>
          <w:rFonts w:hint="eastAsia"/>
          <w:color w:val="auto"/>
          <w:sz w:val="24"/>
          <w:szCs w:val="24"/>
          <w:highlight w:val="none"/>
          <w:u w:val="single"/>
        </w:rPr>
        <w:t xml:space="preserve">江苏开放大学</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地 址：</w:t>
      </w:r>
      <w:r>
        <w:rPr>
          <w:rFonts w:hint="eastAsia"/>
          <w:color w:val="auto"/>
          <w:sz w:val="24"/>
          <w:szCs w:val="24"/>
          <w:highlight w:val="none"/>
          <w:u w:val="single"/>
        </w:rPr>
        <w:t xml:space="preserve">南京市江东北路399号</w:t>
      </w:r>
      <w:r/>
    </w:p>
    <w:p>
      <w:pPr>
        <w:contextualSpacing/>
        <w:ind w:firstLine="480"/>
        <w:spacing w:line="360" w:lineRule="auto"/>
        <w:rPr>
          <w:color w:val="auto"/>
          <w:sz w:val="24"/>
          <w:szCs w:val="24"/>
          <w:highlight w:val="none"/>
        </w:rPr>
      </w:pPr>
      <w:r>
        <w:rPr>
          <w:rFonts w:hint="eastAsia"/>
          <w:color w:val="auto"/>
          <w:sz w:val="24"/>
          <w:szCs w:val="24"/>
          <w:highlight w:val="none"/>
        </w:rPr>
        <w:t xml:space="preserve">联系人：</w:t>
      </w:r>
      <w:r>
        <w:rPr>
          <w:rFonts w:hint="eastAsia"/>
          <w:color w:val="auto"/>
          <w:sz w:val="24"/>
          <w:szCs w:val="24"/>
          <w:highlight w:val="none"/>
          <w:u w:val="single"/>
        </w:rPr>
        <w:t xml:space="preserve">吕老师</w:t>
      </w:r>
      <w:r>
        <w:rPr>
          <w:rFonts w:hint="eastAsia"/>
          <w:color w:val="auto"/>
          <w:sz w:val="24"/>
          <w:szCs w:val="24"/>
          <w:highlight w:val="none"/>
        </w:rPr>
        <w:t xml:space="preserve"> </w:t>
      </w:r>
      <w:r/>
    </w:p>
    <w:p>
      <w:pPr>
        <w:contextualSpacing/>
        <w:ind w:firstLine="480"/>
        <w:spacing w:line="360" w:lineRule="auto"/>
        <w:rPr>
          <w:color w:val="auto"/>
          <w:sz w:val="24"/>
          <w:szCs w:val="24"/>
          <w:highlight w:val="none"/>
          <w:u w:val="single"/>
        </w:rPr>
      </w:pPr>
      <w:r>
        <w:rPr>
          <w:rFonts w:hint="eastAsia"/>
          <w:color w:val="auto"/>
          <w:sz w:val="24"/>
          <w:szCs w:val="24"/>
          <w:highlight w:val="none"/>
        </w:rPr>
        <w:t xml:space="preserve">联系电话：</w:t>
      </w:r>
      <w:r>
        <w:rPr>
          <w:rFonts w:hint="eastAsia"/>
          <w:color w:val="auto"/>
          <w:sz w:val="24"/>
          <w:szCs w:val="24"/>
          <w:highlight w:val="none"/>
          <w:u w:val="single"/>
        </w:rPr>
        <w:t xml:space="preserve">025-86265605 </w:t>
      </w:r>
      <w:r/>
    </w:p>
    <w:p>
      <w:pPr>
        <w:ind w:firstLine="480"/>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采购代理机构信息</w:t>
      </w:r>
      <w:r/>
    </w:p>
    <w:p>
      <w:pPr>
        <w:ind w:firstLine="480"/>
        <w:spacing w:line="360" w:lineRule="auto"/>
        <w:tabs>
          <w:tab w:val="left" w:pos="2596" w:leader="none"/>
          <w:tab w:val="left" w:pos="6236" w:leader="none"/>
        </w:tabs>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地址：</w:t>
      </w:r>
      <w:bookmarkStart w:id="8" w:name="OLE_LINK11"/>
      <w:r/>
      <w:bookmarkStart w:id="9" w:name="OLE_LINK7"/>
      <w:r>
        <w:rPr>
          <w:rFonts w:hint="eastAsia"/>
          <w:color w:val="auto"/>
          <w:sz w:val="24"/>
          <w:szCs w:val="24"/>
          <w:highlight w:val="none"/>
          <w:u w:val="single"/>
        </w:rPr>
        <w:t xml:space="preserve">南京市中山路99号12楼1212室</w:t>
      </w:r>
      <w:bookmarkEnd w:id="8"/>
      <w:r/>
      <w:bookmarkEnd w:id="9"/>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联系方式：</w:t>
      </w:r>
      <w:r>
        <w:rPr>
          <w:rFonts w:hint="eastAsia"/>
          <w:color w:val="auto"/>
          <w:sz w:val="24"/>
          <w:szCs w:val="24"/>
          <w:highlight w:val="none"/>
          <w:u w:val="single"/>
          <w:lang w:val="en-US"/>
        </w:rPr>
        <w:t xml:space="preserve">江跃</w:t>
      </w:r>
      <w:r>
        <w:rPr>
          <w:rFonts w:hint="eastAsia"/>
          <w:color w:val="auto"/>
          <w:sz w:val="24"/>
          <w:szCs w:val="24"/>
          <w:highlight w:val="none"/>
          <w:u w:val="single"/>
        </w:rPr>
        <w:t xml:space="preserve">025-84200819</w:t>
      </w:r>
      <w:r/>
    </w:p>
    <w:p>
      <w:pPr>
        <w:ind w:firstLine="480"/>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项目联系方式 </w:t>
      </w:r>
      <w:r/>
    </w:p>
    <w:p>
      <w:pPr>
        <w:ind w:firstLine="480"/>
        <w:spacing w:line="360" w:lineRule="auto"/>
        <w:rPr>
          <w:color w:val="auto"/>
          <w:sz w:val="24"/>
          <w:szCs w:val="24"/>
          <w:highlight w:val="none"/>
        </w:rPr>
      </w:pPr>
      <w:r>
        <w:rPr>
          <w:rFonts w:hint="eastAsia"/>
          <w:color w:val="auto"/>
          <w:sz w:val="24"/>
          <w:szCs w:val="24"/>
          <w:highlight w:val="none"/>
        </w:rPr>
        <w:t xml:space="preserve">项目联系人：江跃</w:t>
      </w:r>
      <w:r/>
    </w:p>
    <w:p>
      <w:pPr>
        <w:ind w:firstLine="480"/>
        <w:spacing w:line="360" w:lineRule="auto"/>
        <w:tabs>
          <w:tab w:val="left" w:pos="1617" w:leader="none"/>
          <w:tab w:val="left" w:pos="2457" w:leader="none"/>
          <w:tab w:val="left" w:pos="7076" w:leader="none"/>
        </w:tabs>
        <w:rPr>
          <w:color w:val="auto"/>
          <w:sz w:val="24"/>
          <w:szCs w:val="24"/>
          <w:highlight w:val="none"/>
          <w:u w:val="single"/>
        </w:rPr>
      </w:pPr>
      <w:r>
        <w:rPr>
          <w:rFonts w:hint="eastAsia"/>
          <w:color w:val="auto"/>
          <w:sz w:val="24"/>
          <w:szCs w:val="24"/>
          <w:highlight w:val="none"/>
        </w:rPr>
        <w:t xml:space="preserve">电话：</w:t>
      </w:r>
      <w:r>
        <w:rPr>
          <w:rFonts w:hint="eastAsia"/>
          <w:color w:val="auto"/>
          <w:sz w:val="24"/>
          <w:szCs w:val="24"/>
          <w:highlight w:val="none"/>
          <w:u w:val="single"/>
        </w:rPr>
        <w:t xml:space="preserve">025-84200819</w:t>
      </w:r>
      <w:r/>
    </w:p>
    <w:p>
      <w:pPr>
        <w:ind w:left="2024" w:right="2064"/>
        <w:jc w:val="center"/>
        <w:spacing w:before="49"/>
        <w:rPr>
          <w:rFonts w:ascii="黑体" w:eastAsia="黑体"/>
          <w:b/>
          <w:bCs/>
          <w:color w:val="auto"/>
          <w:sz w:val="36"/>
          <w:highlight w:val="none"/>
        </w:rPr>
        <w:outlineLvl w:val="0"/>
      </w:pPr>
      <w:r/>
      <w:bookmarkStart w:id="10" w:name="_Toc15993"/>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pStyle w:val="860"/>
        <w:rPr>
          <w:color w:val="auto"/>
          <w:highlight w:val="none"/>
        </w:rPr>
      </w:pPr>
      <w:r>
        <w:rPr>
          <w:color w:val="auto"/>
          <w:highlight w:val="none"/>
        </w:rPr>
      </w:r>
      <w:r/>
    </w:p>
    <w:p>
      <w:pPr>
        <w:rPr>
          <w:color w:val="auto"/>
          <w:highlight w:val="none"/>
        </w:rPr>
      </w:pPr>
      <w:r>
        <w:rPr>
          <w:color w:val="auto"/>
          <w:highlight w:val="none"/>
        </w:rPr>
      </w:r>
      <w:r/>
    </w:p>
    <w:p>
      <w:pPr>
        <w:ind w:left="2024" w:right="2064"/>
        <w:jc w:val="center"/>
        <w:spacing w:before="49"/>
        <w:rPr>
          <w:rFonts w:ascii="黑体" w:eastAsia="黑体"/>
          <w:b/>
          <w:bCs/>
          <w:color w:val="auto"/>
          <w:sz w:val="36"/>
          <w:highlight w:val="none"/>
        </w:rPr>
        <w:outlineLvl w:val="0"/>
      </w:pPr>
      <w:r>
        <w:rPr>
          <w:rFonts w:hint="eastAsia" w:ascii="黑体" w:eastAsia="黑体"/>
          <w:b/>
          <w:bCs/>
          <w:color w:val="auto"/>
          <w:sz w:val="36"/>
          <w:highlight w:val="none"/>
        </w:rPr>
        <w:t xml:space="preserve">第二章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供应商须知</w:t>
      </w:r>
      <w:bookmarkEnd w:id="10"/>
      <w:r/>
      <w:r/>
    </w:p>
    <w:p>
      <w:pPr>
        <w:ind w:firstLine="422"/>
        <w:spacing w:line="360" w:lineRule="auto"/>
        <w:rPr>
          <w:b/>
          <w:color w:val="auto"/>
          <w:sz w:val="21"/>
          <w:szCs w:val="21"/>
          <w:highlight w:val="none"/>
        </w:rPr>
      </w:pPr>
      <w:r>
        <w:rPr>
          <w:rFonts w:hint="eastAsia"/>
          <w:b/>
          <w:color w:val="auto"/>
          <w:sz w:val="21"/>
          <w:szCs w:val="21"/>
          <w:highlight w:val="none"/>
        </w:rPr>
        <w:t xml:space="preserve">一、总则</w:t>
      </w:r>
      <w:r/>
    </w:p>
    <w:p>
      <w:pPr>
        <w:pStyle w:val="884"/>
        <w:ind w:firstLine="420"/>
        <w:spacing w:line="360" w:lineRule="auto"/>
        <w:rPr>
          <w:color w:val="auto"/>
          <w:highlight w:val="none"/>
        </w:rPr>
      </w:pPr>
      <w:r/>
      <w:bookmarkStart w:id="11" w:name="1、适用法律"/>
      <w:r/>
      <w:bookmarkEnd w:id="11"/>
      <w:r>
        <w:rPr>
          <w:rFonts w:hint="eastAsia"/>
          <w:color w:val="auto"/>
          <w:highlight w:val="none"/>
        </w:rPr>
        <w:t xml:space="preserve">1、适用法律</w:t>
      </w:r>
      <w:r/>
    </w:p>
    <w:p>
      <w:pPr>
        <w:pStyle w:val="884"/>
        <w:ind w:firstLine="420"/>
        <w:spacing w:line="360" w:lineRule="auto"/>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auto"/>
          <w:sz w:val="21"/>
          <w:szCs w:val="21"/>
          <w:highlight w:val="none"/>
        </w:rPr>
      </w:pPr>
      <w:r/>
      <w:bookmarkStart w:id="12" w:name="2、定义"/>
      <w:r/>
      <w:bookmarkEnd w:id="12"/>
      <w:r>
        <w:rPr>
          <w:rFonts w:hint="eastAsia"/>
          <w:b/>
          <w:color w:val="auto"/>
          <w:sz w:val="21"/>
          <w:szCs w:val="21"/>
          <w:highlight w:val="none"/>
        </w:rPr>
        <w:t xml:space="preserve">2、定义</w:t>
      </w:r>
      <w:r/>
    </w:p>
    <w:p>
      <w:pPr>
        <w:pStyle w:val="939"/>
        <w:numPr>
          <w:ilvl w:val="1"/>
          <w:numId w:val="6"/>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w:t>
      </w:r>
      <w:r>
        <w:rPr>
          <w:rFonts w:hint="eastAsia"/>
          <w:bCs/>
          <w:color w:val="auto"/>
          <w:sz w:val="21"/>
          <w:szCs w:val="21"/>
          <w:highlight w:val="none"/>
        </w:rPr>
        <w:t xml:space="preserve">供应商</w:t>
      </w:r>
      <w:r>
        <w:rPr>
          <w:rFonts w:hint="eastAsia"/>
          <w:color w:val="auto"/>
          <w:sz w:val="21"/>
          <w:szCs w:val="21"/>
          <w:highlight w:val="none"/>
        </w:rPr>
        <w:t xml:space="preserve">”是指参加投标竞争，并符合招标文件规定资格条件的法人、其他组织或者自然人。</w:t>
      </w:r>
      <w:r/>
    </w:p>
    <w:p>
      <w:pPr>
        <w:pStyle w:val="939"/>
        <w:numPr>
          <w:ilvl w:val="1"/>
          <w:numId w:val="6"/>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“产品”指本招标文件中所述</w:t>
      </w:r>
      <w:r>
        <w:rPr>
          <w:rFonts w:hint="eastAsia"/>
          <w:bCs/>
          <w:color w:val="auto"/>
          <w:sz w:val="21"/>
          <w:szCs w:val="21"/>
          <w:highlight w:val="none"/>
        </w:rPr>
        <w:t xml:space="preserve">产品</w:t>
      </w:r>
      <w:r>
        <w:rPr>
          <w:rFonts w:hint="eastAsia"/>
          <w:color w:val="auto"/>
          <w:sz w:val="21"/>
          <w:szCs w:val="21"/>
          <w:highlight w:val="none"/>
        </w:rPr>
        <w:t xml:space="preserve">及相关服务。</w:t>
      </w:r>
      <w:r/>
    </w:p>
    <w:p>
      <w:pPr>
        <w:pStyle w:val="939"/>
        <w:numPr>
          <w:ilvl w:val="1"/>
          <w:numId w:val="6"/>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“用户或使用单位”是指使用服务的单位。 </w:t>
      </w:r>
      <w:r/>
    </w:p>
    <w:p>
      <w:pPr>
        <w:pStyle w:val="939"/>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3、政策功能</w:t>
      </w:r>
      <w:r/>
    </w:p>
    <w:p>
      <w:pPr>
        <w:pStyle w:val="939"/>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39"/>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39"/>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39"/>
        <w:numPr>
          <w:ilvl w:val="1"/>
          <w:numId w:val="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39"/>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939"/>
        <w:numPr>
          <w:ilvl w:val="1"/>
          <w:numId w:val="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提供的产品属于政府强制采购节能产品的，供应商应当选择经过认证的节能产品投标，并提供有效的节能产品认证证书复印件。</w:t>
      </w:r>
      <w:r/>
    </w:p>
    <w:p>
      <w:pPr>
        <w:pStyle w:val="939"/>
        <w:numPr>
          <w:ilvl w:val="1"/>
          <w:numId w:val="7"/>
        </w:numPr>
        <w:ind w:firstLine="420"/>
        <w:spacing w:line="360" w:lineRule="auto"/>
        <w:tabs>
          <w:tab w:val="left" w:pos="1114" w:leader="none"/>
        </w:tabs>
        <w:rPr>
          <w:color w:val="auto"/>
          <w:sz w:val="21"/>
          <w:szCs w:val="21"/>
          <w:highlight w:val="none"/>
        </w:rPr>
      </w:pPr>
      <w:r>
        <w:rPr>
          <w:rFonts w:hint="eastAsia"/>
          <w:color w:val="auto"/>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auto"/>
          <w:sz w:val="21"/>
          <w:szCs w:val="21"/>
          <w:highlight w:val="none"/>
        </w:rPr>
      </w:pPr>
      <w:r>
        <w:rPr>
          <w:color w:val="auto"/>
          <w:sz w:val="21"/>
          <w:szCs w:val="21"/>
          <w:highlight w:val="none"/>
        </w:rPr>
        <w:t xml:space="preserve">3.8.实施本国产品标准及相关政策</w:t>
      </w:r>
      <w:r/>
    </w:p>
    <w:p>
      <w:pPr>
        <w:ind w:firstLine="422"/>
        <w:spacing w:line="360" w:lineRule="auto"/>
        <w:rPr>
          <w:color w:val="auto"/>
          <w:sz w:val="21"/>
          <w:szCs w:val="21"/>
          <w:highlight w:val="none"/>
        </w:rPr>
      </w:pPr>
      <w:r>
        <w:rPr>
          <w:color w:val="auto"/>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auto"/>
          <w:sz w:val="21"/>
          <w:szCs w:val="21"/>
          <w:highlight w:val="none"/>
        </w:rPr>
        <w:t xml:space="preserve">采</w:t>
      </w:r>
      <w:r>
        <w:rPr>
          <w:color w:val="auto"/>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auto"/>
          <w:sz w:val="21"/>
          <w:szCs w:val="21"/>
          <w:highlight w:val="none"/>
        </w:rPr>
      </w:pPr>
      <w:r>
        <w:rPr>
          <w:color w:val="auto"/>
          <w:sz w:val="21"/>
          <w:szCs w:val="21"/>
          <w:highlight w:val="none"/>
        </w:rPr>
        <w:t xml:space="preserve">3.8.2本国产品应当符合以下条件：</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auto"/>
          <w:sz w:val="21"/>
          <w:szCs w:val="21"/>
          <w:highlight w:val="none"/>
        </w:rPr>
        <w:t xml:space="preserve">2025〕34号）规定。</w:t>
      </w:r>
      <w:r/>
    </w:p>
    <w:p>
      <w:pPr>
        <w:ind w:firstLine="422"/>
        <w:spacing w:line="360" w:lineRule="auto"/>
        <w:rPr>
          <w:color w:val="auto"/>
          <w:sz w:val="21"/>
          <w:szCs w:val="21"/>
          <w:highlight w:val="none"/>
        </w:rPr>
      </w:pPr>
      <w:r>
        <w:rPr>
          <w:rFonts w:hint="eastAsia"/>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2）在中国境内生产的组件成本占比达到规定比例</w:t>
      </w:r>
      <w:r/>
    </w:p>
    <w:p>
      <w:pPr>
        <w:ind w:firstLine="422"/>
        <w:spacing w:line="360" w:lineRule="auto"/>
        <w:rPr>
          <w:color w:val="auto"/>
          <w:sz w:val="21"/>
          <w:szCs w:val="21"/>
          <w:highlight w:val="none"/>
        </w:rPr>
      </w:pPr>
      <w:r>
        <w:rPr>
          <w:rFonts w:hint="eastAsia"/>
          <w:color w:val="auto"/>
          <w:sz w:val="21"/>
          <w:szCs w:val="21"/>
          <w:highlight w:val="none"/>
        </w:rPr>
        <w:t xml:space="preserve">比例计算公式详见《国务院办公厅关于在政府采购中实施本国产品标准及相关政策的通知》（国办发〔</w:t>
      </w:r>
      <w:r>
        <w:rPr>
          <w:color w:val="auto"/>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3）特定产品的关键组件、关键工序符合相关要求</w:t>
      </w:r>
      <w:r/>
    </w:p>
    <w:p>
      <w:pPr>
        <w:ind w:firstLine="422"/>
        <w:spacing w:line="360" w:lineRule="auto"/>
        <w:rPr>
          <w:color w:val="auto"/>
          <w:sz w:val="21"/>
          <w:szCs w:val="21"/>
          <w:highlight w:val="none"/>
        </w:rPr>
      </w:pPr>
      <w:r>
        <w:rPr>
          <w:rFonts w:hint="eastAsia"/>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auto"/>
          <w:sz w:val="21"/>
          <w:szCs w:val="21"/>
          <w:highlight w:val="none"/>
        </w:rPr>
      </w:pPr>
      <w:r>
        <w:rPr>
          <w:color w:val="auto"/>
          <w:sz w:val="21"/>
          <w:szCs w:val="21"/>
          <w:highlight w:val="none"/>
        </w:rPr>
        <w:t xml:space="preserve">3.8.3本国产品标准的适用范围</w:t>
      </w:r>
      <w:r/>
    </w:p>
    <w:p>
      <w:pPr>
        <w:ind w:firstLine="422"/>
        <w:spacing w:line="360" w:lineRule="auto"/>
        <w:rPr>
          <w:color w:val="auto"/>
          <w:sz w:val="21"/>
          <w:szCs w:val="21"/>
          <w:highlight w:val="none"/>
        </w:rPr>
      </w:pPr>
      <w:r>
        <w:rPr>
          <w:rFonts w:hint="eastAsia"/>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auto"/>
          <w:sz w:val="21"/>
          <w:szCs w:val="21"/>
          <w:highlight w:val="none"/>
        </w:rPr>
      </w:pPr>
      <w:r>
        <w:rPr>
          <w:color w:val="auto"/>
          <w:sz w:val="21"/>
          <w:szCs w:val="21"/>
          <w:highlight w:val="none"/>
        </w:rPr>
        <w:t xml:space="preserve">3.8.4对本国产品的支持政策</w:t>
      </w:r>
      <w:r/>
    </w:p>
    <w:p>
      <w:pPr>
        <w:ind w:firstLine="422"/>
        <w:spacing w:line="360" w:lineRule="auto"/>
        <w:rPr>
          <w:color w:val="auto"/>
          <w:sz w:val="21"/>
          <w:szCs w:val="21"/>
          <w:highlight w:val="none"/>
        </w:rPr>
      </w:pPr>
      <w:r>
        <w:rPr>
          <w:rFonts w:hint="eastAsia"/>
          <w:color w:val="auto"/>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auto"/>
          <w:sz w:val="21"/>
          <w:szCs w:val="21"/>
          <w:highlight w:val="none"/>
        </w:rPr>
      </w:pPr>
      <w:r>
        <w:rPr>
          <w:color w:val="auto"/>
          <w:sz w:val="21"/>
          <w:szCs w:val="21"/>
          <w:highlight w:val="none"/>
        </w:rPr>
        <w:t xml:space="preserve">3.8.5政策执行要求</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auto"/>
          <w:sz w:val="21"/>
          <w:szCs w:val="21"/>
          <w:highlight w:val="none"/>
        </w:rPr>
      </w:pPr>
      <w:r>
        <w:rPr>
          <w:rFonts w:hint="eastAsia"/>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auto"/>
          <w:sz w:val="21"/>
          <w:szCs w:val="21"/>
          <w:highlight w:val="none"/>
        </w:rPr>
        <w:t xml:space="preserve">二、招标文件</w:t>
      </w:r>
      <w:r/>
    </w:p>
    <w:p>
      <w:pPr>
        <w:ind w:firstLine="422"/>
        <w:spacing w:line="360" w:lineRule="auto"/>
        <w:rPr>
          <w:b/>
          <w:color w:val="auto"/>
          <w:sz w:val="21"/>
          <w:szCs w:val="21"/>
          <w:highlight w:val="none"/>
        </w:rPr>
      </w:pPr>
      <w:r>
        <w:rPr>
          <w:rFonts w:hint="eastAsia"/>
          <w:b/>
          <w:color w:val="auto"/>
          <w:sz w:val="21"/>
          <w:szCs w:val="21"/>
          <w:highlight w:val="none"/>
        </w:rPr>
        <w:t xml:space="preserve">4、招标文件组成</w:t>
      </w:r>
      <w:r/>
    </w:p>
    <w:p>
      <w:pPr>
        <w:pStyle w:val="939"/>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939"/>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939"/>
        <w:numPr>
          <w:ilvl w:val="1"/>
          <w:numId w:val="8"/>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auto"/>
          <w:sz w:val="21"/>
          <w:szCs w:val="21"/>
          <w:highlight w:val="none"/>
        </w:rPr>
      </w:pPr>
      <w:r/>
      <w:bookmarkStart w:id="13" w:name="5、招标文件的澄清、修改"/>
      <w:r/>
      <w:bookmarkEnd w:id="13"/>
      <w:r>
        <w:rPr>
          <w:rFonts w:hint="eastAsia"/>
          <w:b/>
          <w:color w:val="auto"/>
          <w:sz w:val="21"/>
          <w:szCs w:val="21"/>
          <w:highlight w:val="none"/>
        </w:rPr>
        <w:t xml:space="preserve">5、招标文件的澄清、修改</w:t>
      </w:r>
      <w:r/>
    </w:p>
    <w:p>
      <w:pPr>
        <w:pStyle w:val="939"/>
        <w:numPr>
          <w:ilvl w:val="1"/>
          <w:numId w:val="9"/>
        </w:numPr>
        <w:ind w:firstLine="420"/>
        <w:spacing w:line="360" w:lineRule="auto"/>
        <w:tabs>
          <w:tab w:val="left" w:pos="956" w:leader="none"/>
        </w:tabs>
        <w:rPr>
          <w:color w:val="auto"/>
          <w:sz w:val="21"/>
          <w:szCs w:val="21"/>
          <w:highlight w:val="none"/>
        </w:rPr>
      </w:pPr>
      <w:r>
        <w:rPr>
          <w:rFonts w:hint="eastAsia"/>
          <w:color w:val="auto"/>
          <w:sz w:val="21"/>
          <w:szCs w:val="21"/>
          <w:highlight w:val="none"/>
        </w:rPr>
        <w:t xml:space="preserve">招标代理机构对已发出的招标文件进行必要澄清或者修改的，将在招标文件要求提交投标文件截止时间</w:t>
      </w:r>
      <w:r>
        <w:rPr>
          <w:rFonts w:hint="eastAsia"/>
          <w:b/>
          <w:color w:val="auto"/>
          <w:sz w:val="21"/>
          <w:szCs w:val="21"/>
          <w:highlight w:val="none"/>
          <w:u w:val="single"/>
        </w:rPr>
        <w:t xml:space="preserve">十五日</w:t>
      </w:r>
      <w:r>
        <w:rPr>
          <w:rFonts w:hint="eastAsia"/>
          <w:color w:val="auto"/>
          <w:sz w:val="21"/>
          <w:szCs w:val="21"/>
          <w:highlight w:val="none"/>
        </w:rPr>
        <w:t xml:space="preserve">前，在原招标公告媒体发布更正公告，该澄清或者修改的内容为招标文件的组成部分。</w:t>
      </w:r>
      <w:r/>
    </w:p>
    <w:p>
      <w:pPr>
        <w:pStyle w:val="939"/>
        <w:numPr>
          <w:ilvl w:val="1"/>
          <w:numId w:val="9"/>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招标代理机构在招标文件要求提交投标文件截止时间</w:t>
      </w:r>
      <w:r>
        <w:rPr>
          <w:rFonts w:hint="eastAsia"/>
          <w:b/>
          <w:color w:val="auto"/>
          <w:sz w:val="21"/>
          <w:szCs w:val="21"/>
          <w:highlight w:val="none"/>
          <w:u w:val="single"/>
        </w:rPr>
        <w:t xml:space="preserve">三日</w:t>
      </w:r>
      <w:r>
        <w:rPr>
          <w:rFonts w:hint="eastAsia"/>
          <w:color w:val="auto"/>
          <w:sz w:val="21"/>
          <w:szCs w:val="21"/>
          <w:highlight w:val="none"/>
        </w:rPr>
        <w:t xml:space="preserve">前，有权决定延长投标截止时间和开标时间，并在原采购信息发布媒体上发布变更公告。</w:t>
      </w:r>
      <w:r/>
    </w:p>
    <w:p>
      <w:pPr>
        <w:pStyle w:val="939"/>
        <w:numPr>
          <w:ilvl w:val="1"/>
          <w:numId w:val="9"/>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供应商应在投标截止时间前关注原采购信息发布媒体上有关本招标项目有无变更公告。  </w:t>
      </w:r>
      <w:bookmarkStart w:id="14" w:name="三、投标"/>
      <w:r/>
      <w:bookmarkEnd w:id="14"/>
      <w:r/>
      <w:r/>
    </w:p>
    <w:p>
      <w:pPr>
        <w:pStyle w:val="939"/>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三、投标</w:t>
      </w:r>
      <w:r/>
    </w:p>
    <w:p>
      <w:pPr>
        <w:ind w:firstLine="422"/>
        <w:spacing w:line="360" w:lineRule="auto"/>
        <w:rPr>
          <w:b/>
          <w:color w:val="auto"/>
          <w:sz w:val="21"/>
          <w:szCs w:val="21"/>
          <w:highlight w:val="none"/>
        </w:rPr>
      </w:pPr>
      <w:r>
        <w:rPr>
          <w:rFonts w:hint="eastAsia"/>
          <w:b/>
          <w:color w:val="auto"/>
          <w:sz w:val="21"/>
          <w:szCs w:val="21"/>
          <w:highlight w:val="none"/>
        </w:rPr>
        <w:t xml:space="preserve">6、投标文件的语言、计量单位、货币和编制</w:t>
      </w:r>
      <w:r/>
    </w:p>
    <w:p>
      <w:pPr>
        <w:pStyle w:val="939"/>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39"/>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6.2 供应商所使用的计量单位应为国家法定计量单位。</w:t>
      </w:r>
      <w:r/>
    </w:p>
    <w:p>
      <w:pPr>
        <w:pStyle w:val="939"/>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6.3 供应商应用人民币报价。</w:t>
      </w:r>
      <w:r/>
    </w:p>
    <w:p>
      <w:pPr>
        <w:pStyle w:val="939"/>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6.4 如标书制作工具中格式和内容与“江苏政府采购网”发布的招标文件不一致，以“江苏政府采购网”发布的招标文件为准。</w:t>
      </w:r>
      <w:r/>
    </w:p>
    <w:p>
      <w:pPr>
        <w:pStyle w:val="939"/>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6.5 供应商应在投标文件中写清相应的项目编号、项目名称、供应商全称、地址、电话、传真等。</w:t>
      </w:r>
      <w:r/>
    </w:p>
    <w:p>
      <w:pPr>
        <w:pStyle w:val="939"/>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6.6 供应商所使用的技术标准应遵循国家最新标准及规范。</w:t>
      </w:r>
      <w:r>
        <w:rPr>
          <w:rFonts w:hint="eastAsia"/>
          <w:color w:val="auto"/>
          <w:sz w:val="21"/>
          <w:szCs w:val="21"/>
          <w:highlight w:val="none"/>
        </w:rPr>
        <w:t xml:space="preserve">   </w:t>
      </w:r>
      <w:r/>
    </w:p>
    <w:p>
      <w:pPr>
        <w:pStyle w:val="939"/>
        <w:ind w:left="440" w:firstLine="0"/>
        <w:spacing w:line="360" w:lineRule="auto"/>
        <w:tabs>
          <w:tab w:val="left" w:pos="1059" w:leader="none"/>
        </w:tabs>
        <w:rPr>
          <w:b/>
          <w:color w:val="auto"/>
          <w:sz w:val="21"/>
          <w:szCs w:val="21"/>
          <w:highlight w:val="none"/>
        </w:rPr>
      </w:pPr>
      <w:r>
        <w:rPr>
          <w:rFonts w:hint="eastAsia"/>
          <w:color w:val="auto"/>
          <w:sz w:val="21"/>
          <w:szCs w:val="21"/>
          <w:highlight w:val="none"/>
        </w:rPr>
        <w:t xml:space="preserve">7</w:t>
      </w:r>
      <w:r>
        <w:rPr>
          <w:rFonts w:hint="eastAsia"/>
          <w:b/>
          <w:color w:val="auto"/>
          <w:sz w:val="21"/>
          <w:szCs w:val="21"/>
          <w:highlight w:val="none"/>
        </w:rPr>
        <w:t xml:space="preserve">、联合投标</w:t>
      </w:r>
      <w:r/>
    </w:p>
    <w:p>
      <w:pPr>
        <w:ind w:firstLine="420"/>
        <w:spacing w:line="360" w:lineRule="auto"/>
        <w:rPr>
          <w:color w:val="auto"/>
          <w:sz w:val="21"/>
          <w:szCs w:val="21"/>
          <w:highlight w:val="none"/>
        </w:rPr>
      </w:pPr>
      <w:r>
        <w:rPr>
          <w:rFonts w:hint="eastAsia"/>
          <w:color w:val="auto"/>
          <w:sz w:val="21"/>
          <w:szCs w:val="21"/>
          <w:highlight w:val="none"/>
        </w:rPr>
        <w:t xml:space="preserve">本次项目不接受联合体形式投标</w:t>
      </w:r>
      <w:bookmarkStart w:id="15" w:name="8、投标费用"/>
      <w:r/>
      <w:bookmarkEnd w:id="15"/>
      <w:r>
        <w:rPr>
          <w:rFonts w:hint="eastAsia"/>
          <w:color w:val="auto"/>
          <w:sz w:val="21"/>
          <w:szCs w:val="21"/>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8、投标费用</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w:t>
      </w:r>
      <w:r>
        <w:rPr>
          <w:bCs/>
          <w:color w:val="auto"/>
          <w:sz w:val="21"/>
          <w:szCs w:val="21"/>
          <w:highlight w:val="none"/>
          <w:lang w:val="en-US"/>
        </w:rPr>
        <w:t xml:space="preserve">.</w:t>
      </w:r>
      <w:r>
        <w:rPr>
          <w:rFonts w:hint="eastAsia"/>
          <w:bCs/>
          <w:color w:val="auto"/>
          <w:sz w:val="21"/>
          <w:szCs w:val="21"/>
          <w:highlight w:val="none"/>
          <w:lang w:val="en-US"/>
        </w:rPr>
        <w:t xml:space="preserve">1 本次招标，招标代理服务费按《招标代理服务费管理暂行办法》（国家发展计划委员会计价格【2002】1980号）收费标准的48%计算，由中标单位向招标代理机构支付。该项费用请供应商综合考虑在投标报价中，后期采购人不单独列支，必须在领取中标通知书前向招标代理机构支付招标服务费。</w:t>
      </w:r>
      <w:r>
        <w:rPr>
          <w:bCs/>
          <w:color w:val="auto"/>
          <w:sz w:val="21"/>
          <w:szCs w:val="21"/>
          <w:highlight w:val="none"/>
          <w:lang w:val="en-US"/>
        </w:rPr>
        <w:t xml:space="preserve">  </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8.2 投标保证金：本项目</w:t>
      </w:r>
      <w:r>
        <w:rPr>
          <w:rFonts w:hint="eastAsia"/>
          <w:b/>
          <w:color w:val="auto"/>
          <w:sz w:val="21"/>
          <w:szCs w:val="21"/>
          <w:highlight w:val="none"/>
          <w:lang w:val="en-US"/>
        </w:rPr>
        <w:t xml:space="preserve">不收取</w:t>
      </w:r>
      <w:r>
        <w:rPr>
          <w:rFonts w:hint="eastAsia"/>
          <w:bCs/>
          <w:color w:val="auto"/>
          <w:sz w:val="21"/>
          <w:szCs w:val="21"/>
          <w:highlight w:val="none"/>
          <w:lang w:val="en-US"/>
        </w:rPr>
        <w:t xml:space="preserve">投标保证金。</w:t>
      </w:r>
      <w:r/>
    </w:p>
    <w:p>
      <w:pPr>
        <w:ind w:firstLine="422"/>
        <w:spacing w:line="360" w:lineRule="auto"/>
        <w:rPr>
          <w:b/>
          <w:color w:val="auto"/>
          <w:sz w:val="21"/>
          <w:szCs w:val="21"/>
          <w:highlight w:val="none"/>
        </w:rPr>
      </w:pPr>
      <w:r>
        <w:rPr>
          <w:rFonts w:hint="eastAsia"/>
          <w:b/>
          <w:color w:val="auto"/>
          <w:sz w:val="21"/>
          <w:szCs w:val="21"/>
          <w:highlight w:val="none"/>
        </w:rPr>
        <w:t xml:space="preserve">9、投标文件组成</w:t>
      </w:r>
      <w:r/>
    </w:p>
    <w:p>
      <w:pPr>
        <w:pStyle w:val="939"/>
        <w:numPr>
          <w:ilvl w:val="1"/>
          <w:numId w:val="10"/>
        </w:numPr>
        <w:ind w:firstLine="420"/>
        <w:spacing w:line="360" w:lineRule="auto"/>
        <w:tabs>
          <w:tab w:val="left" w:pos="1006" w:leader="none"/>
        </w:tabs>
        <w:rPr>
          <w:color w:val="auto"/>
          <w:sz w:val="21"/>
          <w:szCs w:val="21"/>
          <w:highlight w:val="none"/>
        </w:rPr>
      </w:pPr>
      <w:r>
        <w:rPr>
          <w:rFonts w:hint="eastAsia"/>
          <w:color w:val="auto"/>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39"/>
        <w:numPr>
          <w:ilvl w:val="1"/>
          <w:numId w:val="10"/>
        </w:numPr>
        <w:ind w:firstLine="420"/>
        <w:spacing w:line="360" w:lineRule="auto"/>
        <w:tabs>
          <w:tab w:val="left" w:pos="1049" w:leader="none"/>
        </w:tabs>
        <w:rPr>
          <w:color w:val="auto"/>
          <w:sz w:val="21"/>
          <w:szCs w:val="21"/>
          <w:highlight w:val="none"/>
        </w:rPr>
      </w:pPr>
      <w:r>
        <w:rPr>
          <w:rFonts w:hint="eastAsia"/>
          <w:color w:val="auto"/>
          <w:sz w:val="21"/>
          <w:szCs w:val="21"/>
          <w:highlight w:val="none"/>
        </w:rPr>
        <w:t xml:space="preserve">供应商根据招标文件载明的标的采购项目实际情况，拟在中标后将中标项目的非主体、非关键性工作交由他人完成的，应当在投标文件中载明。</w:t>
      </w:r>
      <w:r/>
    </w:p>
    <w:p>
      <w:pPr>
        <w:pStyle w:val="939"/>
        <w:numPr>
          <w:ilvl w:val="1"/>
          <w:numId w:val="10"/>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投标文件由商务部分、技术部分、价格部分，以及其他部分组成。 </w:t>
      </w:r>
      <w:r/>
    </w:p>
    <w:p>
      <w:pPr>
        <w:pStyle w:val="939"/>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10、投标文件的商务部分</w:t>
      </w:r>
      <w:r/>
    </w:p>
    <w:p>
      <w:pPr>
        <w:pStyle w:val="884"/>
        <w:ind w:firstLine="420"/>
        <w:spacing w:line="360" w:lineRule="auto"/>
        <w:rPr>
          <w:color w:val="auto"/>
          <w:highlight w:val="none"/>
        </w:rPr>
      </w:pPr>
      <w:r>
        <w:rPr>
          <w:rFonts w:hint="eastAsia"/>
          <w:color w:val="auto"/>
          <w:highlight w:val="none"/>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auto"/>
          <w:highlight w:val="none"/>
        </w:rPr>
        <w:t xml:space="preserve">★</w:t>
      </w:r>
      <w:r>
        <w:rPr>
          <w:rFonts w:hint="eastAsia"/>
          <w:color w:val="auto"/>
          <w:highlight w:val="none"/>
        </w:rPr>
        <w:t xml:space="preserve">”项目不得有缺失或无效。</w:t>
      </w:r>
      <w:r/>
    </w:p>
    <w:p>
      <w:pPr>
        <w:pStyle w:val="939"/>
        <w:numPr>
          <w:ilvl w:val="0"/>
          <w:numId w:val="11"/>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投标申请及声明；</w:t>
      </w:r>
      <w:r/>
    </w:p>
    <w:p>
      <w:pPr>
        <w:pStyle w:val="939"/>
        <w:numPr>
          <w:ilvl w:val="0"/>
          <w:numId w:val="11"/>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法定代表人授权委托书及委托代理人的身份证复印件；</w:t>
      </w:r>
      <w:r/>
    </w:p>
    <w:p>
      <w:pPr>
        <w:pStyle w:val="939"/>
        <w:numPr>
          <w:ilvl w:val="0"/>
          <w:numId w:val="11"/>
        </w:numPr>
        <w:ind w:firstLine="442"/>
        <w:spacing w:line="360" w:lineRule="auto"/>
        <w:tabs>
          <w:tab w:val="left" w:pos="1169"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第一章投标邀请中申请人的资格要求规定的资格条件证明文件；</w:t>
      </w:r>
      <w:r/>
    </w:p>
    <w:p>
      <w:pPr>
        <w:pStyle w:val="939"/>
        <w:ind w:left="440" w:firstLine="0"/>
        <w:spacing w:line="360" w:lineRule="auto"/>
        <w:tabs>
          <w:tab w:val="left" w:pos="1163" w:leader="none"/>
        </w:tabs>
        <w:rPr>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4</w:t>
      </w:r>
      <w:r>
        <w:rPr>
          <w:rFonts w:hint="eastAsia"/>
          <w:color w:val="auto"/>
          <w:sz w:val="21"/>
          <w:szCs w:val="21"/>
          <w:highlight w:val="none"/>
        </w:rPr>
        <w:t xml:space="preserve">）</w:t>
      </w: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《商务条款偏离表》；</w:t>
      </w:r>
      <w:r/>
    </w:p>
    <w:p>
      <w:pPr>
        <w:pStyle w:val="939"/>
        <w:ind w:left="440" w:firstLine="0"/>
        <w:spacing w:line="360" w:lineRule="auto"/>
        <w:tabs>
          <w:tab w:val="left" w:pos="1163" w:leader="none"/>
        </w:tabs>
        <w:rPr>
          <w:b/>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5</w:t>
      </w:r>
      <w:r>
        <w:rPr>
          <w:rFonts w:hint="eastAsia"/>
          <w:color w:val="auto"/>
          <w:sz w:val="21"/>
          <w:szCs w:val="21"/>
          <w:highlight w:val="none"/>
        </w:rPr>
        <w:t xml:space="preserve">）供应商认为需要提供的其他资格证明文件和商务资料等。 </w:t>
      </w:r>
      <w:r/>
    </w:p>
    <w:p>
      <w:pPr>
        <w:pStyle w:val="939"/>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11、投标文件的技术部分</w:t>
      </w:r>
      <w:r/>
    </w:p>
    <w:p>
      <w:pPr>
        <w:pStyle w:val="939"/>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939"/>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若技术性能无特殊说明，则按国家有关部门最新颁布的标准及规范为准；</w:t>
      </w:r>
      <w:r/>
    </w:p>
    <w:p>
      <w:pPr>
        <w:pStyle w:val="939"/>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提供的服务如与招标文件要求有不符之处，应说明其差别之所在，并在《技术条款偏离表》中逐条予以说明。</w:t>
      </w:r>
      <w:r/>
    </w:p>
    <w:p>
      <w:pPr>
        <w:pStyle w:val="939"/>
        <w:numPr>
          <w:ilvl w:val="1"/>
          <w:numId w:val="12"/>
        </w:numPr>
        <w:ind w:firstLine="420"/>
        <w:spacing w:line="360" w:lineRule="auto"/>
        <w:tabs>
          <w:tab w:val="left" w:pos="1164" w:leader="none"/>
        </w:tabs>
        <w:rPr>
          <w:b/>
          <w:color w:val="auto"/>
          <w:sz w:val="21"/>
          <w:szCs w:val="21"/>
          <w:highlight w:val="none"/>
        </w:rPr>
      </w:pPr>
      <w:r>
        <w:rPr>
          <w:rFonts w:hint="eastAsia"/>
          <w:color w:val="auto"/>
          <w:sz w:val="21"/>
          <w:szCs w:val="21"/>
          <w:highlight w:val="none"/>
        </w:rPr>
        <w:t xml:space="preserve">投标文件应按照招标文件要求提供技术资料、文件和有关证明，包括但不限于</w:t>
      </w:r>
      <w:r>
        <w:rPr>
          <w:rFonts w:hint="eastAsia"/>
          <w:b/>
          <w:color w:val="auto"/>
          <w:sz w:val="21"/>
          <w:szCs w:val="21"/>
          <w:highlight w:val="none"/>
        </w:rPr>
        <w:t xml:space="preserve">其中加</w:t>
      </w: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项目不得有缺失或无效：</w:t>
      </w:r>
      <w:r/>
    </w:p>
    <w:p>
      <w:pPr>
        <w:pStyle w:val="939"/>
        <w:numPr>
          <w:ilvl w:val="0"/>
          <w:numId w:val="13"/>
        </w:numPr>
        <w:ind w:firstLine="420"/>
        <w:spacing w:line="360" w:lineRule="auto"/>
        <w:tabs>
          <w:tab w:val="left" w:pos="1164" w:leader="none"/>
        </w:tabs>
        <w:rPr>
          <w:bCs/>
          <w:color w:val="auto"/>
          <w:sz w:val="21"/>
          <w:szCs w:val="21"/>
          <w:highlight w:val="none"/>
        </w:rPr>
      </w:pPr>
      <w:r>
        <w:rPr>
          <w:rFonts w:hint="eastAsia"/>
          <w:bCs/>
          <w:color w:val="auto"/>
          <w:sz w:val="21"/>
          <w:szCs w:val="21"/>
          <w:highlight w:val="none"/>
        </w:rPr>
        <w:t xml:space="preserve">拟投入本项目人员配备表；</w:t>
      </w:r>
      <w:r/>
    </w:p>
    <w:p>
      <w:pPr>
        <w:pStyle w:val="939"/>
        <w:numPr>
          <w:ilvl w:val="0"/>
          <w:numId w:val="13"/>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项目实施方案；</w:t>
      </w:r>
      <w:r/>
    </w:p>
    <w:p>
      <w:pPr>
        <w:pStyle w:val="939"/>
        <w:numPr>
          <w:ilvl w:val="0"/>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服务承诺；</w:t>
      </w:r>
      <w:r/>
    </w:p>
    <w:p>
      <w:pPr>
        <w:pStyle w:val="939"/>
        <w:numPr>
          <w:ilvl w:val="0"/>
          <w:numId w:val="13"/>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《技术条款偏离表》；</w:t>
      </w:r>
      <w:r/>
    </w:p>
    <w:p>
      <w:pPr>
        <w:pStyle w:val="939"/>
        <w:numPr>
          <w:ilvl w:val="0"/>
          <w:numId w:val="13"/>
        </w:numPr>
        <w:ind w:firstLine="420"/>
        <w:spacing w:line="360" w:lineRule="auto"/>
        <w:tabs>
          <w:tab w:val="left" w:pos="1163" w:leader="none"/>
        </w:tabs>
        <w:rPr>
          <w:b/>
          <w:color w:val="auto"/>
          <w:sz w:val="21"/>
          <w:szCs w:val="21"/>
          <w:highlight w:val="none"/>
        </w:rPr>
      </w:pPr>
      <w:r>
        <w:rPr>
          <w:rFonts w:hint="eastAsia"/>
          <w:color w:val="auto"/>
          <w:sz w:val="21"/>
          <w:szCs w:val="21"/>
          <w:highlight w:val="none"/>
        </w:rPr>
        <w:t xml:space="preserve">供应商认为需要提供的其他技术资料。</w:t>
      </w:r>
      <w:r/>
    </w:p>
    <w:p>
      <w:pPr>
        <w:pStyle w:val="939"/>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12、投标文件的价格部分</w:t>
      </w:r>
      <w:r/>
    </w:p>
    <w:p>
      <w:pPr>
        <w:pStyle w:val="939"/>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12.1 价格部分是对投标价格构成的说明，每一项货物仅接受一个价格。投标人应按照招标文件规定格式填报投标分项报价表。</w:t>
      </w:r>
      <w:r/>
    </w:p>
    <w:p>
      <w:pPr>
        <w:pStyle w:val="939"/>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12.2 供应商的投标报价，是指提供招标项目货物，并进行项目安装、调试、验收及售后等相关服务的所有费用。包括但不限于：货物价格（含全套配件货物、备品备件、专用工具、技术资料等）、包装费、运杂费、保险费、卸装、产品保管保护费、调试费、培训及售后服务费、有关行业专管部门验收、税金、利润、不可预见费及其它相关所有费用。供应商的任何错漏、优惠、竞争性报价不得作为减轻责任、减少服务、增加收费、降低质量的理由。</w:t>
      </w:r>
      <w:r/>
    </w:p>
    <w:p>
      <w:pPr>
        <w:pStyle w:val="939"/>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12.3 供应商的任何错漏、优惠、竞争性报价不得作为减轻责任、减少服务、增加收费、降低质量的理由。</w:t>
      </w:r>
      <w:r/>
    </w:p>
    <w:p>
      <w:pPr>
        <w:pStyle w:val="939"/>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39"/>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12.5 《开标一览表》须加盖电子公章。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13、投标文件的其他部分</w:t>
      </w:r>
      <w:r/>
    </w:p>
    <w:p>
      <w:pPr>
        <w:pStyle w:val="884"/>
        <w:ind w:firstLine="420"/>
        <w:spacing w:line="360" w:lineRule="auto"/>
        <w:rPr>
          <w:color w:val="auto"/>
          <w:highlight w:val="none"/>
        </w:rPr>
      </w:pPr>
      <w:r>
        <w:rPr>
          <w:rFonts w:hint="eastAsia"/>
          <w:color w:val="auto"/>
          <w:highlight w:val="none"/>
        </w:rPr>
        <w:t xml:space="preserve">13.1 其他部分由供应商根据编制投标文件需要提供的其他相关文件组成。</w:t>
      </w:r>
      <w:r/>
    </w:p>
    <w:p>
      <w:pPr>
        <w:pStyle w:val="884"/>
        <w:ind w:firstLine="422"/>
        <w:spacing w:line="360" w:lineRule="auto"/>
        <w:rPr>
          <w:b/>
          <w:color w:val="auto"/>
          <w:highlight w:val="none"/>
        </w:rPr>
      </w:pPr>
      <w:r>
        <w:rPr>
          <w:rFonts w:hint="eastAsia"/>
          <w:b/>
          <w:color w:val="auto"/>
          <w:highlight w:val="none"/>
        </w:rPr>
        <w:t xml:space="preserve">14、投标有效期</w:t>
      </w:r>
      <w:r/>
    </w:p>
    <w:p>
      <w:pPr>
        <w:pStyle w:val="939"/>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自开标之日起</w:t>
      </w:r>
      <w:r>
        <w:rPr>
          <w:rFonts w:hint="eastAsia"/>
          <w:b/>
          <w:color w:val="auto"/>
          <w:sz w:val="21"/>
          <w:szCs w:val="21"/>
          <w:highlight w:val="none"/>
        </w:rPr>
        <w:t xml:space="preserve">60天</w:t>
      </w:r>
      <w:r>
        <w:rPr>
          <w:rFonts w:hint="eastAsia"/>
          <w:color w:val="auto"/>
          <w:sz w:val="21"/>
          <w:szCs w:val="21"/>
          <w:highlight w:val="none"/>
        </w:rPr>
        <w:t xml:space="preserve">内投标有效。</w:t>
      </w:r>
      <w:r/>
    </w:p>
    <w:p>
      <w:pPr>
        <w:pStyle w:val="939"/>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auto"/>
          <w:sz w:val="21"/>
          <w:szCs w:val="21"/>
          <w:highlight w:val="none"/>
        </w:rPr>
      </w:pPr>
      <w:r>
        <w:rPr>
          <w:rFonts w:hint="eastAsia"/>
          <w:b/>
          <w:color w:val="auto"/>
          <w:sz w:val="21"/>
          <w:szCs w:val="21"/>
          <w:highlight w:val="none"/>
        </w:rPr>
        <w:t xml:space="preserve">15、投标文件的份数、签署</w:t>
      </w:r>
      <w:r/>
    </w:p>
    <w:p>
      <w:pPr>
        <w:pStyle w:val="939"/>
        <w:numPr>
          <w:ilvl w:val="1"/>
          <w:numId w:val="15"/>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16、投标文件的递交</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.1 投标人应当按照《操作手册》规定，在招标公告规定的投标截止时间前制作并上传电子投标文件。</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939"/>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.3 代理机构有权通过修改招标文件酌情延长投标截止时间，在此情况下，投标人的所有权利和义务均以延长后新的截止时间为准。</w:t>
      </w:r>
      <w:r>
        <w:rPr>
          <w:rFonts w:hint="eastAsia"/>
          <w:color w:val="auto"/>
          <w:sz w:val="21"/>
          <w:szCs w:val="21"/>
          <w:highlight w:val="none"/>
        </w:rPr>
        <w:t xml:space="preserve">   </w:t>
      </w:r>
      <w:r/>
    </w:p>
    <w:p>
      <w:pPr>
        <w:pStyle w:val="939"/>
        <w:ind w:left="440" w:firstLine="0"/>
        <w:spacing w:line="360" w:lineRule="auto"/>
        <w:tabs>
          <w:tab w:val="left" w:pos="1164" w:leader="none"/>
        </w:tabs>
        <w:rPr>
          <w:b/>
          <w:color w:val="auto"/>
          <w:sz w:val="21"/>
          <w:szCs w:val="21"/>
          <w:highlight w:val="none"/>
        </w:rPr>
      </w:pPr>
      <w:r>
        <w:rPr>
          <w:rFonts w:hint="eastAsia"/>
          <w:b/>
          <w:color w:val="auto"/>
          <w:sz w:val="21"/>
          <w:szCs w:val="21"/>
          <w:highlight w:val="none"/>
        </w:rPr>
        <w:t xml:space="preserve">17、有下列情形之一的投标文件将拒收：</w:t>
      </w:r>
      <w:r/>
    </w:p>
    <w:p>
      <w:pPr>
        <w:ind w:firstLine="420"/>
        <w:spacing w:line="360" w:lineRule="auto"/>
        <w:rPr>
          <w:color w:val="auto"/>
          <w:highlight w:val="none"/>
        </w:rPr>
      </w:pPr>
      <w:r>
        <w:rPr>
          <w:rFonts w:hint="eastAsia"/>
          <w:color w:val="auto"/>
          <w:sz w:val="21"/>
          <w:szCs w:val="21"/>
          <w:highlight w:val="none"/>
          <w:lang w:val="en-US"/>
        </w:rPr>
        <w:t xml:space="preserve">17.1 </w:t>
      </w:r>
      <w:r>
        <w:rPr>
          <w:rFonts w:hint="eastAsia"/>
          <w:color w:val="auto"/>
          <w:sz w:val="21"/>
          <w:szCs w:val="21"/>
          <w:highlight w:val="none"/>
        </w:rPr>
        <w:t xml:space="preserve">在招标文件要求提交投标文件的截止时间之后上传的。</w:t>
      </w:r>
      <w:r/>
    </w:p>
    <w:p>
      <w:pPr>
        <w:ind w:firstLine="422"/>
        <w:spacing w:line="360" w:lineRule="auto"/>
        <w:rPr>
          <w:b/>
          <w:color w:val="auto"/>
          <w:sz w:val="21"/>
          <w:szCs w:val="21"/>
          <w:highlight w:val="none"/>
        </w:rPr>
      </w:pPr>
      <w:r>
        <w:rPr>
          <w:rFonts w:hint="eastAsia"/>
          <w:b/>
          <w:color w:val="auto"/>
          <w:sz w:val="21"/>
          <w:szCs w:val="21"/>
          <w:highlight w:val="none"/>
        </w:rPr>
        <w:t xml:space="preserve">18、投标文件的修改和撤回</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.1 投标文件的修改</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投标人可在投标截止时间前对其电子投标文件进行修改，具体操作方法见《操作手册》。</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投标截止时间之后，投标人不得对其电子投标文件作任何修改。</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 投标文件的撤回</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投标人可在投标截止时间前撤回其电子投标文件，具体操作方法见《操作手册》。</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投标人撤回电子投标文件，则认为其不再参与本项目投标活动。</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auto"/>
          <w:sz w:val="21"/>
          <w:szCs w:val="21"/>
          <w:highlight w:val="none"/>
        </w:rPr>
      </w:pPr>
      <w:r/>
      <w:bookmarkStart w:id="16" w:name="四、开标、评标与确定中标供应商"/>
      <w:r/>
      <w:bookmarkEnd w:id="16"/>
      <w:r>
        <w:rPr>
          <w:rFonts w:hint="eastAsia"/>
          <w:b/>
          <w:color w:val="auto"/>
          <w:sz w:val="21"/>
          <w:szCs w:val="21"/>
          <w:highlight w:val="none"/>
        </w:rPr>
        <w:t xml:space="preserve">四、开标、评标与确定中标供应商</w:t>
      </w:r>
      <w:r/>
    </w:p>
    <w:p>
      <w:pPr>
        <w:ind w:firstLine="422"/>
        <w:spacing w:line="360" w:lineRule="auto"/>
        <w:rPr>
          <w:b/>
          <w:color w:val="auto"/>
          <w:sz w:val="21"/>
          <w:szCs w:val="21"/>
          <w:highlight w:val="none"/>
        </w:rPr>
      </w:pPr>
      <w:r>
        <w:rPr>
          <w:rFonts w:hint="eastAsia"/>
          <w:b/>
          <w:color w:val="auto"/>
          <w:sz w:val="21"/>
          <w:szCs w:val="21"/>
          <w:highlight w:val="none"/>
        </w:rPr>
        <w:t xml:space="preserve">19、开标</w:t>
      </w:r>
      <w:r/>
    </w:p>
    <w:p>
      <w:pPr>
        <w:pStyle w:val="939"/>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39"/>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.2 投标人在开标过程中涉及到的投标文件解密、开标结果确认等工作，应按照《操作手册》规定执行。</w:t>
      </w:r>
      <w:r/>
    </w:p>
    <w:p>
      <w:pPr>
        <w:pStyle w:val="939"/>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auto"/>
          <w:sz w:val="21"/>
          <w:szCs w:val="21"/>
          <w:highlight w:val="none"/>
        </w:rPr>
      </w:pPr>
      <w:r>
        <w:rPr>
          <w:rFonts w:hint="eastAsia"/>
          <w:b/>
          <w:color w:val="auto"/>
          <w:sz w:val="21"/>
          <w:szCs w:val="21"/>
          <w:highlight w:val="none"/>
        </w:rPr>
        <w:t xml:space="preserve">20、评标</w:t>
      </w:r>
      <w:r/>
    </w:p>
    <w:p>
      <w:pPr>
        <w:pStyle w:val="939"/>
        <w:numPr>
          <w:ilvl w:val="1"/>
          <w:numId w:val="0"/>
        </w:numPr>
        <w:ind w:firstLine="422"/>
        <w:spacing w:line="360" w:lineRule="auto"/>
        <w:tabs>
          <w:tab w:val="left" w:pos="1109" w:leader="none"/>
        </w:tabs>
        <w:rPr>
          <w:b/>
          <w:color w:val="auto"/>
          <w:sz w:val="21"/>
          <w:szCs w:val="21"/>
          <w:highlight w:val="none"/>
        </w:rPr>
      </w:pPr>
      <w:r>
        <w:rPr>
          <w:color w:val="auto"/>
          <w:sz w:val="21"/>
          <w:szCs w:val="21"/>
          <w:highlight w:val="none"/>
        </w:rPr>
        <w:t xml:space="preserve">20.1</w:t>
      </w:r>
      <w:r>
        <w:rPr>
          <w:rFonts w:hint="eastAsia"/>
          <w:b/>
          <w:color w:val="auto"/>
          <w:sz w:val="21"/>
          <w:szCs w:val="21"/>
          <w:highlight w:val="none"/>
        </w:rPr>
        <w:t xml:space="preserve">评标组织</w:t>
      </w:r>
      <w:r/>
    </w:p>
    <w:p>
      <w:pPr>
        <w:pStyle w:val="939"/>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评标工作由代理机构组织评标委员会（以下简称“评委会”）进行，具体评标事务由依法组建的评标委员会负责，并独立履行下列职责：</w:t>
      </w:r>
      <w:r/>
    </w:p>
    <w:p>
      <w:pPr>
        <w:pStyle w:val="939"/>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（1）审查、评价投标文件是否符合招标文件的商务、技术等实质性要求；</w:t>
      </w:r>
      <w:r/>
    </w:p>
    <w:p>
      <w:pPr>
        <w:pStyle w:val="939"/>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（2）要求供应商对投标文件有关事项作出澄清或者说明；</w:t>
      </w:r>
      <w:r/>
    </w:p>
    <w:p>
      <w:pPr>
        <w:pStyle w:val="939"/>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（3）对投标文件进行比较和评价；</w:t>
      </w:r>
      <w:r/>
    </w:p>
    <w:p>
      <w:pPr>
        <w:pStyle w:val="939"/>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（4）推荐中标候选人或根据采购人委托直接确定中标供应商；</w:t>
      </w:r>
      <w:r/>
    </w:p>
    <w:p>
      <w:pPr>
        <w:pStyle w:val="939"/>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（5）向采购人、财政部门报告评标中发现的违法行为。</w:t>
      </w:r>
      <w:r/>
    </w:p>
    <w:p>
      <w:pPr>
        <w:pStyle w:val="939"/>
        <w:numPr>
          <w:ilvl w:val="1"/>
          <w:numId w:val="0"/>
        </w:numPr>
        <w:ind w:firstLine="422"/>
        <w:spacing w:line="360" w:lineRule="auto"/>
        <w:tabs>
          <w:tab w:val="left" w:pos="1167" w:leader="none"/>
        </w:tabs>
        <w:rPr>
          <w:b/>
          <w:color w:val="auto"/>
          <w:sz w:val="21"/>
          <w:szCs w:val="21"/>
          <w:highlight w:val="none"/>
        </w:rPr>
      </w:pPr>
      <w:r>
        <w:rPr>
          <w:color w:val="auto"/>
          <w:sz w:val="21"/>
          <w:szCs w:val="21"/>
          <w:highlight w:val="none"/>
        </w:rPr>
        <w:t xml:space="preserve">20.2</w:t>
      </w:r>
      <w:r>
        <w:rPr>
          <w:rFonts w:hint="eastAsia"/>
          <w:b/>
          <w:color w:val="auto"/>
          <w:sz w:val="21"/>
          <w:szCs w:val="21"/>
          <w:highlight w:val="none"/>
        </w:rPr>
        <w:t xml:space="preserve">评标程序</w:t>
      </w:r>
      <w:r/>
    </w:p>
    <w:p>
      <w:pPr>
        <w:pStyle w:val="939"/>
        <w:numPr>
          <w:ilvl w:val="2"/>
          <w:numId w:val="0"/>
        </w:numPr>
        <w:ind w:firstLine="422"/>
        <w:spacing w:line="360" w:lineRule="auto"/>
        <w:tabs>
          <w:tab w:val="left" w:pos="1378" w:leader="none"/>
        </w:tabs>
        <w:rPr>
          <w:b/>
          <w:color w:val="auto"/>
          <w:sz w:val="21"/>
          <w:szCs w:val="21"/>
          <w:highlight w:val="none"/>
        </w:rPr>
      </w:pPr>
      <w:r>
        <w:rPr>
          <w:color w:val="auto"/>
          <w:sz w:val="21"/>
          <w:szCs w:val="21"/>
          <w:highlight w:val="none"/>
        </w:rPr>
        <w:t xml:space="preserve">20.2.1</w:t>
      </w:r>
      <w:r>
        <w:rPr>
          <w:rFonts w:hint="eastAsia"/>
          <w:b/>
          <w:color w:val="auto"/>
          <w:sz w:val="21"/>
          <w:szCs w:val="21"/>
          <w:highlight w:val="none"/>
        </w:rPr>
        <w:t xml:space="preserve">投标文件的资格审查。</w:t>
      </w:r>
      <w:r/>
    </w:p>
    <w:p>
      <w:pPr>
        <w:pStyle w:val="939"/>
        <w:ind w:left="0"/>
        <w:spacing w:line="360" w:lineRule="auto"/>
        <w:tabs>
          <w:tab w:val="left" w:pos="1163" w:leader="none"/>
        </w:tabs>
        <w:rPr>
          <w:color w:val="auto"/>
          <w:sz w:val="21"/>
          <w:szCs w:val="21"/>
          <w:highlight w:val="none"/>
        </w:rPr>
      </w:pPr>
      <w:r/>
      <w:bookmarkStart w:id="17" w:name="20.2.1.1采购人代表将依法对投标人的资格进行审查。"/>
      <w:r/>
      <w:bookmarkEnd w:id="17"/>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.2.1.1采购人代表依法对供应商的资格进行审查。</w:t>
      </w:r>
      <w:r/>
    </w:p>
    <w:p>
      <w:pPr>
        <w:pStyle w:val="939"/>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.2.1.2采购人代表依据法律法规和招标文件的规定，对投标文件中的资格证明文件等进行审查，以确定投标供应商是否具备投标资格。</w:t>
      </w:r>
      <w:r/>
    </w:p>
    <w:p>
      <w:pPr>
        <w:pStyle w:val="939"/>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39"/>
        <w:ind w:left="0"/>
        <w:spacing w:line="360" w:lineRule="auto"/>
        <w:tabs>
          <w:tab w:val="left" w:pos="1163" w:leader="none"/>
        </w:tabs>
        <w:rPr>
          <w:color w:val="auto"/>
          <w:sz w:val="21"/>
          <w:szCs w:val="21"/>
          <w:highlight w:val="none"/>
        </w:rPr>
      </w:pPr>
      <w:r>
        <w:rPr>
          <w:b/>
          <w:bCs/>
          <w:color w:val="auto"/>
          <w:sz w:val="21"/>
          <w:szCs w:val="21"/>
          <w:highlight w:val="none"/>
        </w:rPr>
        <w:t xml:space="preserve">2</w:t>
      </w:r>
      <w:r>
        <w:rPr>
          <w:rFonts w:hint="eastAsia"/>
          <w:b/>
          <w:bCs/>
          <w:color w:val="auto"/>
          <w:sz w:val="21"/>
          <w:szCs w:val="21"/>
          <w:highlight w:val="none"/>
          <w:lang w:val="en-US"/>
        </w:rPr>
        <w:t xml:space="preserve">0</w:t>
      </w:r>
      <w:r>
        <w:rPr>
          <w:b/>
          <w:bCs/>
          <w:color w:val="auto"/>
          <w:sz w:val="21"/>
          <w:szCs w:val="21"/>
          <w:highlight w:val="none"/>
        </w:rPr>
        <w:t xml:space="preserve">.2.1.4 投标文件有下列情况之一的，在资格性审查时按照无效投标处理</w:t>
      </w:r>
      <w:r/>
    </w:p>
    <w:p>
      <w:pPr>
        <w:pStyle w:val="939"/>
        <w:ind w:left="0"/>
        <w:spacing w:line="360" w:lineRule="auto"/>
        <w:tabs>
          <w:tab w:val="left" w:pos="1163" w:leader="none"/>
        </w:tabs>
        <w:rPr>
          <w:color w:val="auto"/>
          <w:sz w:val="21"/>
          <w:szCs w:val="21"/>
          <w:highlight w:val="none"/>
        </w:rPr>
      </w:pPr>
      <w:r>
        <w:rPr>
          <w:color w:val="auto"/>
          <w:sz w:val="21"/>
          <w:szCs w:val="21"/>
          <w:highlight w:val="none"/>
        </w:rPr>
        <w:t xml:space="preserve">（1）不具备招标文件规定资格条件的； </w:t>
      </w:r>
      <w:r/>
    </w:p>
    <w:p>
      <w:pPr>
        <w:pStyle w:val="939"/>
        <w:ind w:left="0"/>
        <w:spacing w:line="360" w:lineRule="auto"/>
        <w:tabs>
          <w:tab w:val="left" w:pos="1163" w:leader="none"/>
        </w:tabs>
        <w:rPr>
          <w:color w:val="auto"/>
          <w:sz w:val="21"/>
          <w:szCs w:val="21"/>
          <w:highlight w:val="none"/>
        </w:rPr>
      </w:pPr>
      <w:r>
        <w:rPr>
          <w:color w:val="auto"/>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39"/>
        <w:numPr>
          <w:ilvl w:val="2"/>
          <w:numId w:val="0"/>
        </w:numPr>
        <w:ind w:firstLine="422"/>
        <w:spacing w:line="360" w:lineRule="auto"/>
        <w:tabs>
          <w:tab w:val="left" w:pos="1588" w:leader="none"/>
          <w:tab w:val="left" w:pos="1589" w:leader="none"/>
        </w:tabs>
        <w:rPr>
          <w:b/>
          <w:color w:val="auto"/>
          <w:sz w:val="21"/>
          <w:szCs w:val="21"/>
          <w:highlight w:val="none"/>
        </w:rPr>
      </w:pPr>
      <w:r>
        <w:rPr>
          <w:color w:val="auto"/>
          <w:sz w:val="21"/>
          <w:szCs w:val="21"/>
          <w:highlight w:val="none"/>
        </w:rPr>
        <w:t xml:space="preserve">20.2.2</w:t>
      </w:r>
      <w:r>
        <w:rPr>
          <w:rFonts w:hint="eastAsia"/>
          <w:b/>
          <w:color w:val="auto"/>
          <w:sz w:val="21"/>
          <w:szCs w:val="21"/>
          <w:highlight w:val="none"/>
        </w:rPr>
        <w:t xml:space="preserve">投标文件的符合性审查。</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.2.2.2 实质性要求是指本招标文件中带“★”的商务和技术要求。</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.2.2.4 投标文件有下列情况之一的，在符合性审查时按照无效投标处理</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（1）未按招标文件规定签署、盖章的；</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（2）没有《开标一览表》或《开标一览表》未按招标文件要求盖章的；</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（3）投标总价超出采购预算金额或者最高限价的；</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（4）不同供应商的投标文件由同一单位或者个人编制；</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（5）不同供应商委托同一单位或者个人办理投标事宜；</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（6）不同供应商的投标文件载明的项目管理成员或者联系人员为同一人；</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（7）不同供应商的投标文件异常一致或者投标报价呈规律性差异；</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（8）不同供应商的投标文件相互混装；</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（9）不同供应商的法定代表人或委托代理人有夫妻、直系血亲关系的；</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（10）不同供应商的负责人为同一人或者存在控股、管理关系的；</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（12）属于投标邀请中拒绝参加本次采购活动供应商的；</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（13）投标文件含有采购人不能接受的附加条件的；</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（15）投标人在苏采云系统规定的时间内未成功解密电子投标文件。</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（16）投标人未按照招标文件要求上传电子投标文件。</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（17）同一投标人提交两个（含两个）以上不同的投标报价。</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（18）采购产品被财政部、国家发改委、生态环境部等列入“节能产品品目清单”强制采购范围，而投标人提供的产品不在强制采购范围内。</w:t>
      </w:r>
      <w:r/>
    </w:p>
    <w:p>
      <w:pPr>
        <w:pStyle w:val="939"/>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未通过资格审查或符合性审查的投标人，代理机构将通过苏采云系统告知其具体原因，评标结束后不再接受有关询问。</w:t>
      </w:r>
      <w:r/>
    </w:p>
    <w:p>
      <w:pPr>
        <w:pStyle w:val="939"/>
        <w:numPr>
          <w:ilvl w:val="3"/>
          <w:numId w:val="0"/>
        </w:numPr>
        <w:ind w:firstLine="420"/>
        <w:spacing w:line="360" w:lineRule="auto"/>
        <w:tabs>
          <w:tab w:val="left" w:pos="1584" w:leader="none"/>
        </w:tabs>
        <w:rPr>
          <w:color w:val="auto"/>
          <w:sz w:val="21"/>
          <w:szCs w:val="21"/>
          <w:highlight w:val="none"/>
        </w:rPr>
      </w:pPr>
      <w:r>
        <w:rPr>
          <w:b/>
          <w:bCs/>
          <w:color w:val="auto"/>
          <w:sz w:val="21"/>
          <w:szCs w:val="21"/>
          <w:highlight w:val="none"/>
        </w:rPr>
        <w:t xml:space="preserve">20.2.2.5</w:t>
      </w:r>
      <w:r>
        <w:rPr>
          <w:rFonts w:hint="eastAsia"/>
          <w:b/>
          <w:bCs/>
          <w:color w:val="auto"/>
          <w:sz w:val="21"/>
          <w:szCs w:val="21"/>
          <w:highlight w:val="none"/>
          <w:lang w:val="en-US"/>
        </w:rPr>
        <w:t xml:space="preserve"> </w:t>
      </w:r>
      <w:r>
        <w:rPr>
          <w:rFonts w:hint="eastAsia"/>
          <w:b/>
          <w:bCs/>
          <w:color w:val="auto"/>
          <w:sz w:val="21"/>
          <w:szCs w:val="21"/>
          <w:highlight w:val="none"/>
        </w:rPr>
        <w:t xml:space="preserve">废标</w:t>
      </w:r>
      <w:r/>
    </w:p>
    <w:p>
      <w:pPr>
        <w:pStyle w:val="939"/>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.2.2.5.1 符合资格条件的供应商或者对招标文件作实质响应的供应商不足三家。</w:t>
      </w:r>
      <w:r/>
    </w:p>
    <w:p>
      <w:pPr>
        <w:pStyle w:val="939"/>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.2.2.5.2 出现影响采购公正的违法、违规行为。</w:t>
      </w:r>
      <w:r/>
    </w:p>
    <w:p>
      <w:pPr>
        <w:pStyle w:val="939"/>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.2.2.5.3 因重大变故采购任务取消。</w:t>
      </w:r>
      <w:r/>
    </w:p>
    <w:p>
      <w:pPr>
        <w:pStyle w:val="939"/>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.2.2.5.4 评委会认定招标文件存在歧义、重大缺陷导致评审工作无法进行。</w:t>
      </w:r>
      <w:r/>
    </w:p>
    <w:p>
      <w:pPr>
        <w:pStyle w:val="939"/>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.2.2.5.5 预留份额的采购项目或采购包，通过发布公告方式邀请供应商后，符合资格条件的中小企业数量不足3家的。</w:t>
      </w:r>
      <w:r/>
    </w:p>
    <w:p>
      <w:pPr>
        <w:pStyle w:val="939"/>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21.2.2.5.6 因苏采云系统故障造成开标不成功。</w:t>
      </w:r>
      <w:r/>
    </w:p>
    <w:p>
      <w:pPr>
        <w:pStyle w:val="939"/>
        <w:ind w:left="440" w:firstLine="0"/>
        <w:spacing w:line="360" w:lineRule="auto"/>
        <w:tabs>
          <w:tab w:val="left" w:pos="1163" w:leader="none"/>
        </w:tabs>
        <w:rPr>
          <w:color w:val="auto"/>
          <w:sz w:val="21"/>
          <w:szCs w:val="21"/>
          <w:highlight w:val="none"/>
          <w:lang w:val="en-US"/>
        </w:rPr>
      </w:pPr>
      <w:r>
        <w:rPr>
          <w:rFonts w:hint="eastAsia"/>
          <w:b/>
          <w:bCs/>
          <w:color w:val="auto"/>
          <w:sz w:val="21"/>
          <w:szCs w:val="21"/>
          <w:highlight w:val="none"/>
          <w:lang w:val="en-US"/>
        </w:rPr>
        <w:t xml:space="preserve">20.2.3 投标文件的进一步评审</w:t>
      </w:r>
      <w:r/>
    </w:p>
    <w:p>
      <w:pPr>
        <w:pStyle w:val="939"/>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939"/>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（1）如果用数字表示的金额和用文字表示的金额不一致时，应以文字表示的金额为准进行修正；</w:t>
      </w:r>
      <w:r/>
    </w:p>
    <w:p>
      <w:pPr>
        <w:pStyle w:val="939"/>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939"/>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39"/>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939"/>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39"/>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939"/>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20.2.3.6 投标人在开、评标全过程中应保持通讯畅通，及时登录苏采云系统查阅、答复相关信息，并安排专人与代理机构及评委会联系。</w:t>
      </w:r>
      <w:r/>
    </w:p>
    <w:p>
      <w:pPr>
        <w:pStyle w:val="939"/>
        <w:ind w:left="0"/>
        <w:spacing w:line="360" w:lineRule="auto"/>
        <w:tabs>
          <w:tab w:val="left" w:pos="1163" w:leader="none"/>
        </w:tabs>
        <w:rPr>
          <w:color w:val="auto"/>
          <w:sz w:val="21"/>
          <w:szCs w:val="21"/>
          <w:highlight w:val="none"/>
        </w:rPr>
      </w:pPr>
      <w:r>
        <w:rPr>
          <w:rFonts w:hint="eastAsia"/>
          <w:color w:val="auto"/>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939"/>
        <w:numPr>
          <w:ilvl w:val="2"/>
          <w:numId w:val="0"/>
        </w:numPr>
        <w:ind w:firstLine="422"/>
        <w:spacing w:line="360" w:lineRule="auto"/>
        <w:tabs>
          <w:tab w:val="left" w:pos="1588" w:leader="none"/>
          <w:tab w:val="left" w:pos="1589" w:leader="none"/>
        </w:tabs>
        <w:rPr>
          <w:b/>
          <w:color w:val="auto"/>
          <w:sz w:val="21"/>
          <w:szCs w:val="21"/>
          <w:highlight w:val="none"/>
        </w:rPr>
      </w:pPr>
      <w:r>
        <w:rPr>
          <w:b/>
          <w:bCs/>
          <w:color w:val="auto"/>
          <w:sz w:val="21"/>
          <w:szCs w:val="21"/>
          <w:highlight w:val="none"/>
        </w:rPr>
        <w:t xml:space="preserve">20.2.</w:t>
      </w:r>
      <w:r>
        <w:rPr>
          <w:rFonts w:hint="eastAsia"/>
          <w:b/>
          <w:bCs/>
          <w:color w:val="auto"/>
          <w:sz w:val="21"/>
          <w:szCs w:val="21"/>
          <w:highlight w:val="none"/>
          <w:lang w:val="en-US"/>
        </w:rPr>
        <w:t xml:space="preserve">4</w:t>
      </w:r>
      <w:r>
        <w:rPr>
          <w:rFonts w:hint="eastAsia"/>
          <w:b/>
          <w:bCs/>
          <w:color w:val="auto"/>
          <w:sz w:val="21"/>
          <w:szCs w:val="21"/>
          <w:highlight w:val="none"/>
        </w:rPr>
        <w:t xml:space="preserve">评</w:t>
      </w:r>
      <w:r>
        <w:rPr>
          <w:rFonts w:hint="eastAsia"/>
          <w:b/>
          <w:color w:val="auto"/>
          <w:sz w:val="21"/>
          <w:szCs w:val="21"/>
          <w:highlight w:val="none"/>
        </w:rPr>
        <w:t xml:space="preserve">审过程中出现下列情形之一的，评审委员会应当启动异常低价投标（响应）审查程序：</w:t>
      </w:r>
      <w:r/>
    </w:p>
    <w:p>
      <w:pPr>
        <w:pStyle w:val="939"/>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939"/>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939"/>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（3）投标（响应）报价低于采购项目最高限价45%的，即投标（响应）报价&lt;采购项目最高限价×45%；</w:t>
      </w:r>
      <w:r/>
    </w:p>
    <w:p>
      <w:pPr>
        <w:pStyle w:val="939"/>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（4）评审委员会认定的供应商报价过低、有可能影响产品质量或者不能诚信履约的其他情形。</w:t>
      </w:r>
      <w:r/>
    </w:p>
    <w:p>
      <w:pPr>
        <w:pStyle w:val="939"/>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评审委员会启动异常低价投标（响应）审查后，属于前述第1项至第4项情形的，应当</w:t>
      </w:r>
      <w:r>
        <w:rPr>
          <w:color w:val="auto"/>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39"/>
        <w:numPr>
          <w:ilvl w:val="1"/>
          <w:numId w:val="0"/>
        </w:numPr>
        <w:ind w:firstLine="422"/>
        <w:spacing w:line="360" w:lineRule="auto"/>
        <w:tabs>
          <w:tab w:val="left" w:pos="1167" w:leader="none"/>
        </w:tabs>
        <w:rPr>
          <w:b/>
          <w:color w:val="auto"/>
          <w:sz w:val="21"/>
          <w:szCs w:val="21"/>
          <w:highlight w:val="none"/>
        </w:rPr>
      </w:pPr>
      <w:r>
        <w:rPr>
          <w:b/>
          <w:bCs/>
          <w:color w:val="auto"/>
          <w:sz w:val="21"/>
          <w:szCs w:val="21"/>
          <w:highlight w:val="none"/>
        </w:rPr>
        <w:t xml:space="preserve">20.3</w:t>
      </w:r>
      <w:r>
        <w:rPr>
          <w:rFonts w:hint="eastAsia"/>
          <w:b/>
          <w:color w:val="auto"/>
          <w:sz w:val="21"/>
          <w:szCs w:val="21"/>
          <w:highlight w:val="none"/>
        </w:rPr>
        <w:t xml:space="preserve">评标方法和标准</w:t>
      </w:r>
      <w:r/>
    </w:p>
    <w:p>
      <w:pPr>
        <w:pStyle w:val="939"/>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39"/>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.3.2 综合评分的主要因素详见文件第三章。</w:t>
      </w:r>
      <w:r/>
    </w:p>
    <w:p>
      <w:pPr>
        <w:pStyle w:val="939"/>
        <w:numPr>
          <w:ilvl w:val="2"/>
          <w:numId w:val="0"/>
        </w:numPr>
        <w:ind w:firstLine="422"/>
        <w:spacing w:line="360" w:lineRule="auto"/>
        <w:tabs>
          <w:tab w:val="left" w:pos="1270"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.3.3评分标准详见文件第三章。</w:t>
      </w:r>
      <w:r/>
    </w:p>
    <w:p>
      <w:pPr>
        <w:ind w:firstLine="422"/>
        <w:spacing w:line="360" w:lineRule="auto"/>
        <w:rPr>
          <w:b/>
          <w:color w:val="auto"/>
          <w:sz w:val="21"/>
          <w:szCs w:val="21"/>
          <w:highlight w:val="none"/>
        </w:rPr>
      </w:pPr>
      <w:r>
        <w:rPr>
          <w:rFonts w:hint="eastAsia"/>
          <w:b/>
          <w:color w:val="auto"/>
          <w:sz w:val="21"/>
          <w:szCs w:val="21"/>
          <w:highlight w:val="none"/>
        </w:rPr>
        <w:t xml:space="preserve">21、确定中标供应商</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.2 按以下第（1）种方式确定中标供应商</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（1）评标委员会直接确定排名第一的中标候选人为中标供应商；</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（2）采购人在评标委员会推荐的中标候选人中按顺序确定中标供应商。</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.3 中标供应商确定之日起两个工作日内，将在财政部门指定的政府采购信息发布媒体上公告。</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.4 《中标通知书》对采购人和中标供应商具有同等法律效力。</w:t>
      </w:r>
      <w:r/>
    </w:p>
    <w:p>
      <w:pPr>
        <w:pStyle w:val="939"/>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.5 《中标通知书》发出后，中标供应商无正当理由不与采购人签订合同的，应当依法承担法律责任。</w:t>
      </w:r>
      <w:r/>
    </w:p>
    <w:p>
      <w:pPr>
        <w:pStyle w:val="939"/>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.6代理机构和评标委员会对未中标的供应商不作未中标原因的解释。</w:t>
      </w:r>
      <w:r>
        <w:rPr>
          <w:rFonts w:hint="eastAsia"/>
          <w:color w:val="auto"/>
          <w:sz w:val="21"/>
          <w:szCs w:val="21"/>
          <w:highlight w:val="none"/>
        </w:rPr>
        <w:t xml:space="preserve">  </w:t>
      </w:r>
      <w:r/>
    </w:p>
    <w:p>
      <w:pPr>
        <w:pStyle w:val="939"/>
        <w:ind w:left="0" w:firstLine="422"/>
        <w:spacing w:line="360" w:lineRule="auto"/>
        <w:tabs>
          <w:tab w:val="left" w:pos="1164" w:leader="none"/>
        </w:tabs>
        <w:rPr>
          <w:b/>
          <w:color w:val="auto"/>
          <w:sz w:val="21"/>
          <w:szCs w:val="21"/>
          <w:highlight w:val="none"/>
        </w:rPr>
      </w:pPr>
      <w:r>
        <w:rPr>
          <w:rFonts w:hint="eastAsia"/>
          <w:b/>
          <w:color w:val="auto"/>
          <w:sz w:val="21"/>
          <w:szCs w:val="21"/>
          <w:highlight w:val="none"/>
        </w:rPr>
        <w:t xml:space="preserve">22、编写评标报告</w:t>
      </w:r>
      <w:r/>
    </w:p>
    <w:p>
      <w:pPr>
        <w:ind w:firstLine="420"/>
        <w:spacing w:line="360" w:lineRule="auto"/>
        <w:rPr>
          <w:color w:val="auto"/>
          <w:sz w:val="21"/>
          <w:szCs w:val="21"/>
          <w:highlight w:val="none"/>
        </w:rPr>
      </w:pPr>
      <w:r>
        <w:rPr>
          <w:rFonts w:hint="eastAsia"/>
          <w:color w:val="auto"/>
          <w:sz w:val="21"/>
          <w:szCs w:val="21"/>
          <w:highlight w:val="none"/>
        </w:rPr>
        <w:t xml:space="preserve">22.1 评标委员会根据全体评标成员签字的原始评标记录和评标结果编写评审报告。</w:t>
      </w:r>
      <w:r/>
    </w:p>
    <w:p>
      <w:pPr>
        <w:ind w:firstLine="422"/>
        <w:spacing w:line="360" w:lineRule="auto"/>
        <w:rPr>
          <w:b/>
          <w:color w:val="auto"/>
          <w:sz w:val="21"/>
          <w:szCs w:val="21"/>
          <w:highlight w:val="none"/>
        </w:rPr>
      </w:pPr>
      <w:r>
        <w:rPr>
          <w:rFonts w:hint="eastAsia"/>
          <w:b/>
          <w:color w:val="auto"/>
          <w:sz w:val="21"/>
          <w:szCs w:val="21"/>
          <w:highlight w:val="none"/>
        </w:rPr>
        <w:t xml:space="preserve">23、评标过程的保密性</w:t>
      </w:r>
      <w:r/>
    </w:p>
    <w:p>
      <w:pPr>
        <w:pStyle w:val="939"/>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招标代理将采取必要措施，保证评标在严格保密的情况下进行。</w:t>
      </w:r>
      <w:r/>
    </w:p>
    <w:p>
      <w:pPr>
        <w:pStyle w:val="939"/>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任何单位和个人不得非法干预、影响评标办法的确定，以及评标过程和结果。</w:t>
      </w:r>
      <w:r/>
    </w:p>
    <w:p>
      <w:pPr>
        <w:pStyle w:val="939"/>
        <w:numPr>
          <w:ilvl w:val="1"/>
          <w:numId w:val="16"/>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凡是与审查、澄清、评价和比较投标的有关资料等，均不向供应商及与评标无关的其他人员透露。</w:t>
      </w:r>
      <w:r/>
    </w:p>
    <w:p>
      <w:pPr>
        <w:ind w:firstLine="422"/>
        <w:spacing w:line="360" w:lineRule="auto"/>
        <w:rPr>
          <w:b/>
          <w:color w:val="auto"/>
          <w:sz w:val="21"/>
          <w:szCs w:val="21"/>
          <w:highlight w:val="none"/>
        </w:rPr>
      </w:pPr>
      <w:r/>
      <w:bookmarkStart w:id="18" w:name="五、签订合同"/>
      <w:r/>
      <w:bookmarkEnd w:id="18"/>
      <w:r>
        <w:rPr>
          <w:rFonts w:hint="eastAsia"/>
          <w:b/>
          <w:color w:val="auto"/>
          <w:sz w:val="21"/>
          <w:szCs w:val="21"/>
          <w:highlight w:val="none"/>
        </w:rPr>
        <w:t xml:space="preserve">五、签订合同</w:t>
      </w:r>
      <w:r/>
    </w:p>
    <w:p>
      <w:pPr>
        <w:ind w:firstLine="422"/>
        <w:spacing w:line="360" w:lineRule="auto"/>
        <w:rPr>
          <w:b/>
          <w:color w:val="auto"/>
          <w:sz w:val="21"/>
          <w:szCs w:val="21"/>
          <w:highlight w:val="none"/>
        </w:rPr>
      </w:pPr>
      <w:r>
        <w:rPr>
          <w:rFonts w:hint="eastAsia"/>
          <w:b/>
          <w:color w:val="auto"/>
          <w:sz w:val="21"/>
          <w:szCs w:val="21"/>
          <w:highlight w:val="none"/>
        </w:rPr>
        <w:t xml:space="preserve">24、签订合同</w:t>
      </w:r>
      <w:r/>
    </w:p>
    <w:p>
      <w:pPr>
        <w:pStyle w:val="939"/>
        <w:numPr>
          <w:ilvl w:val="1"/>
          <w:numId w:val="1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39"/>
        <w:numPr>
          <w:ilvl w:val="1"/>
          <w:numId w:val="17"/>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采购人不得向中标人提出任何不合理的要求作为签订合同的条件，不得与中标人私下订立背离合同实质性内容的协议。</w:t>
      </w:r>
      <w:r/>
    </w:p>
    <w:p>
      <w:pPr>
        <w:pStyle w:val="939"/>
        <w:numPr>
          <w:ilvl w:val="1"/>
          <w:numId w:val="17"/>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39"/>
        <w:numPr>
          <w:ilvl w:val="1"/>
          <w:numId w:val="17"/>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auto"/>
          <w:sz w:val="21"/>
          <w:szCs w:val="21"/>
          <w:highlight w:val="none"/>
        </w:rPr>
      </w:pPr>
      <w:r/>
      <w:bookmarkStart w:id="19" w:name="六、询问、质疑、投诉和诚实信用"/>
      <w:r/>
      <w:bookmarkEnd w:id="19"/>
      <w:r>
        <w:rPr>
          <w:rFonts w:hint="eastAsia"/>
          <w:b/>
          <w:color w:val="auto"/>
          <w:sz w:val="21"/>
          <w:szCs w:val="21"/>
          <w:highlight w:val="none"/>
        </w:rPr>
        <w:t xml:space="preserve">六、询问、质疑、投诉和诚实信用</w:t>
      </w:r>
      <w:r/>
    </w:p>
    <w:p>
      <w:pPr>
        <w:ind w:firstLine="422"/>
        <w:spacing w:line="360" w:lineRule="auto"/>
        <w:rPr>
          <w:b/>
          <w:color w:val="auto"/>
          <w:sz w:val="21"/>
          <w:szCs w:val="21"/>
          <w:highlight w:val="none"/>
        </w:rPr>
      </w:pPr>
      <w:r>
        <w:rPr>
          <w:rFonts w:hint="eastAsia"/>
          <w:b/>
          <w:color w:val="auto"/>
          <w:sz w:val="21"/>
          <w:szCs w:val="21"/>
          <w:highlight w:val="none"/>
        </w:rPr>
        <w:t xml:space="preserve">25、询问</w:t>
      </w:r>
      <w:r/>
    </w:p>
    <w:p>
      <w:pPr>
        <w:pStyle w:val="884"/>
        <w:ind w:firstLine="420"/>
        <w:spacing w:line="360" w:lineRule="auto"/>
        <w:rPr>
          <w:b/>
          <w:color w:val="auto"/>
          <w:highlight w:val="none"/>
        </w:rPr>
      </w:pPr>
      <w:r>
        <w:rPr>
          <w:rFonts w:hint="eastAsia"/>
          <w:color w:val="auto"/>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auto"/>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26、质疑</w:t>
      </w:r>
      <w:r/>
    </w:p>
    <w:p>
      <w:pPr>
        <w:pStyle w:val="939"/>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939"/>
        <w:numPr>
          <w:ilvl w:val="1"/>
          <w:numId w:val="18"/>
        </w:numPr>
        <w:ind w:firstLine="420"/>
        <w:spacing w:line="360" w:lineRule="auto"/>
        <w:tabs>
          <w:tab w:val="left" w:pos="1155" w:leader="none"/>
        </w:tabs>
        <w:rPr>
          <w:color w:val="auto"/>
          <w:sz w:val="21"/>
          <w:szCs w:val="21"/>
          <w:highlight w:val="none"/>
        </w:rPr>
      </w:pPr>
      <w:r>
        <w:rPr>
          <w:rFonts w:hint="eastAsia"/>
          <w:color w:val="auto"/>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939"/>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质疑必须以参加投标供应商法定代表人或授权代表（投标文件中所确定的）原件送达的方式提交，否则，招标代理有权不予受理。</w:t>
      </w:r>
      <w:r/>
    </w:p>
    <w:p>
      <w:pPr>
        <w:pStyle w:val="939"/>
        <w:numPr>
          <w:ilvl w:val="1"/>
          <w:numId w:val="18"/>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上述应知其权益受到损害之日是指：</w:t>
      </w:r>
      <w:r/>
    </w:p>
    <w:p>
      <w:pPr>
        <w:pStyle w:val="939"/>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对招标文件提出质疑的，为投标文件公告期限届满之日起计算；</w:t>
      </w:r>
      <w:r/>
    </w:p>
    <w:p>
      <w:pPr>
        <w:pStyle w:val="939"/>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对采购过程提出质疑的，自采购程序环节结束之日起计算；</w:t>
      </w:r>
      <w:r/>
    </w:p>
    <w:p>
      <w:pPr>
        <w:pStyle w:val="939"/>
        <w:numPr>
          <w:ilvl w:val="0"/>
          <w:numId w:val="1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对中标结果提出质疑的，自中标结果公告期限届满之日起计算。</w:t>
      </w:r>
      <w:r/>
    </w:p>
    <w:p>
      <w:pPr>
        <w:pStyle w:val="939"/>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质疑文件应包括以下主要内容，并按照“谁主张、谁举证”的原则，附上相关证明材料。否则，招标代理或采购人不予受理：</w:t>
      </w:r>
      <w:r/>
    </w:p>
    <w:p>
      <w:pPr>
        <w:pStyle w:val="939"/>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质疑项目名称、项目编号、包号、招标公告发布时间、开标时间；</w:t>
      </w:r>
      <w:r/>
    </w:p>
    <w:p>
      <w:pPr>
        <w:pStyle w:val="939"/>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提起质疑的日期、具体的质疑事项及事实根据（具体条款）；</w:t>
      </w:r>
      <w:r/>
    </w:p>
    <w:p>
      <w:pPr>
        <w:pStyle w:val="939"/>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39"/>
        <w:numPr>
          <w:ilvl w:val="0"/>
          <w:numId w:val="20"/>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质疑供应商名称、地址、邮编、联系人、联系电话（包括座机、手机、传真号码等）；</w:t>
      </w:r>
      <w:r/>
    </w:p>
    <w:p>
      <w:pPr>
        <w:pStyle w:val="939"/>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939"/>
        <w:numPr>
          <w:ilvl w:val="0"/>
          <w:numId w:val="20"/>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供应商委托代理质疑的，应当向被质疑人提交授权委托书，并载明委托代理的具体权限和事项。</w:t>
      </w:r>
      <w:r/>
    </w:p>
    <w:p>
      <w:pPr>
        <w:pStyle w:val="939"/>
        <w:numPr>
          <w:ilvl w:val="1"/>
          <w:numId w:val="1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auto"/>
          <w:sz w:val="21"/>
          <w:szCs w:val="21"/>
          <w:highlight w:val="none"/>
        </w:rPr>
      </w:pPr>
      <w:r>
        <w:rPr>
          <w:rFonts w:hint="eastAsia"/>
          <w:b/>
          <w:color w:val="auto"/>
          <w:sz w:val="21"/>
          <w:szCs w:val="21"/>
          <w:highlight w:val="none"/>
        </w:rPr>
        <w:t xml:space="preserve">27、投诉</w:t>
      </w:r>
      <w:r/>
    </w:p>
    <w:p>
      <w:pPr>
        <w:pStyle w:val="884"/>
        <w:ind w:firstLine="420"/>
        <w:spacing w:line="360" w:lineRule="auto"/>
        <w:rPr>
          <w:color w:val="auto"/>
          <w:highlight w:val="none"/>
        </w:rPr>
      </w:pPr>
      <w:r>
        <w:rPr>
          <w:rFonts w:hint="eastAsia"/>
          <w:color w:val="auto"/>
          <w:highlight w:val="none"/>
        </w:rPr>
        <w:t xml:space="preserve">27.1 质疑供应商对招标代理的答复不满意，或招标代理未在规定的时间内作出答复的，可以在答复期满后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向采购项目同级财政部门投诉。</w:t>
      </w:r>
      <w:r/>
    </w:p>
    <w:p>
      <w:pPr>
        <w:contextualSpacing/>
        <w:ind w:firstLine="422"/>
        <w:spacing w:line="360" w:lineRule="auto"/>
        <w:rPr>
          <w:b/>
          <w:color w:val="auto"/>
          <w:sz w:val="21"/>
          <w:szCs w:val="21"/>
          <w:highlight w:val="none"/>
        </w:rPr>
      </w:pPr>
      <w:r>
        <w:rPr>
          <w:rFonts w:hint="eastAsia"/>
          <w:b/>
          <w:color w:val="auto"/>
          <w:sz w:val="21"/>
          <w:szCs w:val="21"/>
          <w:highlight w:val="none"/>
        </w:rPr>
        <w:t xml:space="preserve">28、诚实信用</w:t>
      </w:r>
      <w:r/>
    </w:p>
    <w:p>
      <w:pPr>
        <w:pStyle w:val="939"/>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供应商之间不得相互串通投标报价，不得妨碍其他供应商的公平竞争，不得损害采购人和其他供应商的合法权益。</w:t>
      </w:r>
      <w:r/>
    </w:p>
    <w:p>
      <w:pPr>
        <w:pStyle w:val="939"/>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39"/>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39"/>
        <w:numPr>
          <w:ilvl w:val="1"/>
          <w:numId w:val="21"/>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供应商不得虚假承诺，否则，按照提供虚假材料谋取中标成交处理。</w:t>
      </w:r>
      <w:r/>
    </w:p>
    <w:p>
      <w:pPr>
        <w:pStyle w:val="939"/>
        <w:contextualSpacing/>
        <w:ind w:left="0"/>
        <w:spacing w:line="360" w:lineRule="auto"/>
        <w:tabs>
          <w:tab w:val="left" w:pos="1164" w:leader="none"/>
        </w:tabs>
        <w:rPr>
          <w:color w:val="auto"/>
          <w:sz w:val="21"/>
          <w:highlight w:val="none"/>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auto"/>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auto"/>
          <w:sz w:val="36"/>
          <w:highlight w:val="none"/>
        </w:rPr>
        <w:outlineLvl w:val="0"/>
      </w:pPr>
      <w:r/>
      <w:bookmarkStart w:id="20" w:name="_Toc9832"/>
      <w:r>
        <w:rPr>
          <w:rFonts w:hint="eastAsia" w:ascii="黑体" w:eastAsia="黑体"/>
          <w:b/>
          <w:color w:val="auto"/>
          <w:sz w:val="36"/>
          <w:highlight w:val="none"/>
        </w:rPr>
        <w:t xml:space="preserve">第三章 评标标准</w:t>
      </w:r>
      <w:bookmarkEnd w:id="20"/>
      <w:r/>
      <w:r/>
    </w:p>
    <w:p>
      <w:pPr>
        <w:ind w:firstLine="440"/>
        <w:spacing w:line="360" w:lineRule="auto"/>
        <w:rPr>
          <w:color w:val="auto"/>
          <w:highlight w:val="none"/>
        </w:rPr>
      </w:pPr>
      <w:r>
        <w:rPr>
          <w:rFonts w:hint="eastAsia"/>
          <w:color w:val="auto"/>
          <w:highlight w:val="none"/>
        </w:rPr>
        <w:t xml:space="preserve">本项目评标方法采用综合评分法，综合评分的主要因素是：投标报价、技术参数、</w:t>
      </w:r>
      <w:r>
        <w:rPr>
          <w:rFonts w:hint="eastAsia"/>
          <w:color w:val="auto"/>
          <w:highlight w:val="none"/>
          <w:lang w:val="en-US"/>
        </w:rPr>
        <w:t xml:space="preserve">项目实施方案</w:t>
      </w:r>
      <w:r>
        <w:rPr>
          <w:rFonts w:hint="eastAsia"/>
          <w:color w:val="auto"/>
          <w:highlight w:val="none"/>
        </w:rPr>
        <w:t xml:space="preserve">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86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1409"/>
        <w:gridCol w:w="6834"/>
        <w:gridCol w:w="984"/>
      </w:tblGrid>
      <w:tr>
        <w:trPr>
          <w:jc w:val="center"/>
          <w:tblHeader/>
        </w:trPr>
        <w:tc>
          <w:tcPr>
            <w:tcW w:w="369" w:type="pct"/>
            <w:vAlign w:val="center"/>
            <w:textDirection w:val="lrTb"/>
            <w:noWrap w:val="false"/>
          </w:tcPr>
          <w:p>
            <w:pPr>
              <w:jc w:val="center"/>
              <w:rPr>
                <w:b/>
                <w:color w:val="auto"/>
                <w:szCs w:val="21"/>
                <w:highlight w:val="none"/>
              </w:rPr>
            </w:pPr>
            <w:r/>
            <w:bookmarkStart w:id="21" w:name="_Toc12644"/>
            <w:r>
              <w:rPr>
                <w:rFonts w:hint="eastAsia"/>
                <w:b/>
                <w:color w:val="auto"/>
                <w:szCs w:val="21"/>
                <w:highlight w:val="none"/>
              </w:rPr>
              <w:t xml:space="preserve">序号</w:t>
            </w:r>
            <w:r/>
          </w:p>
        </w:tc>
        <w:tc>
          <w:tcPr>
            <w:tcW w:w="707"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评分因素</w:t>
            </w:r>
            <w:r/>
          </w:p>
        </w:tc>
        <w:tc>
          <w:tcPr>
            <w:tcW w:w="3430"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评审标准</w:t>
            </w:r>
            <w:r/>
          </w:p>
        </w:tc>
        <w:tc>
          <w:tcPr>
            <w:tcW w:w="494" w:type="pct"/>
            <w:vAlign w:val="center"/>
            <w:textDirection w:val="lrTb"/>
            <w:noWrap w:val="false"/>
          </w:tcPr>
          <w:p>
            <w:pPr>
              <w:jc w:val="center"/>
              <w:spacing w:line="460" w:lineRule="exact"/>
              <w:rPr>
                <w:b/>
                <w:color w:val="auto"/>
                <w:szCs w:val="21"/>
                <w:highlight w:val="none"/>
              </w:rPr>
            </w:pPr>
            <w:r>
              <w:rPr>
                <w:rFonts w:hint="eastAsia"/>
                <w:b/>
                <w:color w:val="auto"/>
                <w:szCs w:val="21"/>
                <w:highlight w:val="none"/>
              </w:rPr>
              <w:t xml:space="preserve">分值</w:t>
            </w:r>
            <w:r/>
          </w:p>
        </w:tc>
      </w:tr>
      <w:tr>
        <w:trPr>
          <w:jc w:val="center"/>
        </w:trPr>
        <w:tc>
          <w:tcPr>
            <w:tcW w:w="369"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1</w:t>
            </w:r>
            <w:r/>
          </w:p>
        </w:tc>
        <w:tc>
          <w:tcPr>
            <w:tcW w:w="707"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投标报价</w:t>
            </w:r>
            <w:r/>
          </w:p>
        </w:tc>
        <w:tc>
          <w:tcPr>
            <w:tcW w:w="3430" w:type="pct"/>
            <w:vAlign w:val="center"/>
            <w:textDirection w:val="lrTb"/>
            <w:noWrap w:val="false"/>
          </w:tcPr>
          <w:p>
            <w:pPr>
              <w:ind w:left="17" w:hanging="17"/>
              <w:spacing w:line="400" w:lineRule="exact"/>
              <w:rPr>
                <w:color w:val="auto"/>
                <w:szCs w:val="21"/>
                <w:highlight w:val="none"/>
              </w:rPr>
            </w:pPr>
            <w:r>
              <w:rPr>
                <w:rFonts w:hint="eastAsia"/>
                <w:color w:val="auto"/>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w:t>
            </w:r>
            <w:r>
              <w:rPr>
                <w:color w:val="auto"/>
                <w:szCs w:val="21"/>
                <w:highlight w:val="none"/>
              </w:rPr>
              <w:t xml:space="preserve">30</w:t>
            </w:r>
            <w:r>
              <w:rPr>
                <w:rFonts w:hint="eastAsia"/>
                <w:color w:val="auto"/>
                <w:szCs w:val="21"/>
                <w:highlight w:val="none"/>
              </w:rPr>
              <w:t xml:space="preserve">（小数点保留两位）</w:t>
            </w:r>
            <w:r/>
          </w:p>
        </w:tc>
        <w:tc>
          <w:tcPr>
            <w:tcW w:w="494" w:type="pct"/>
            <w:vAlign w:val="center"/>
            <w:textDirection w:val="lrTb"/>
            <w:noWrap w:val="false"/>
          </w:tcPr>
          <w:p>
            <w:pPr>
              <w:ind w:left="17" w:hanging="17"/>
              <w:jc w:val="center"/>
              <w:spacing w:line="440" w:lineRule="exact"/>
              <w:rPr>
                <w:color w:val="auto"/>
                <w:szCs w:val="21"/>
                <w:highlight w:val="none"/>
              </w:rPr>
            </w:pPr>
            <w:r>
              <w:rPr>
                <w:color w:val="auto"/>
                <w:szCs w:val="21"/>
                <w:highlight w:val="none"/>
              </w:rPr>
              <w:t xml:space="preserve">3</w:t>
            </w:r>
            <w:r>
              <w:rPr>
                <w:rFonts w:hint="eastAsia"/>
                <w:color w:val="auto"/>
                <w:szCs w:val="21"/>
                <w:highlight w:val="none"/>
              </w:rPr>
              <w:t xml:space="preserve">0</w:t>
            </w:r>
            <w:r/>
          </w:p>
        </w:tc>
      </w:tr>
      <w:tr>
        <w:trPr>
          <w:jc w:val="center"/>
          <w:trHeight w:val="5426"/>
        </w:trPr>
        <w:tc>
          <w:tcPr>
            <w:tcW w:w="369"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2</w:t>
            </w:r>
            <w:r/>
          </w:p>
        </w:tc>
        <w:tc>
          <w:tcPr>
            <w:tcW w:w="707" w:type="pct"/>
            <w:vAlign w:val="center"/>
            <w:textDirection w:val="lrTb"/>
            <w:noWrap w:val="false"/>
          </w:tcPr>
          <w:p>
            <w:pPr>
              <w:jc w:val="center"/>
              <w:spacing w:line="460" w:lineRule="exact"/>
              <w:rPr>
                <w:color w:val="auto"/>
                <w:szCs w:val="21"/>
                <w:highlight w:val="none"/>
              </w:rPr>
            </w:pPr>
            <w:r>
              <w:rPr>
                <w:rFonts w:hint="eastAsia"/>
                <w:color w:val="auto"/>
                <w:szCs w:val="21"/>
                <w:highlight w:val="none"/>
              </w:rPr>
              <w:t xml:space="preserve">技术参数</w:t>
            </w:r>
            <w:r/>
          </w:p>
        </w:tc>
        <w:tc>
          <w:tcPr>
            <w:tcW w:w="3430" w:type="pct"/>
            <w:vAlign w:val="center"/>
            <w:textDirection w:val="lrTb"/>
            <w:noWrap w:val="false"/>
          </w:tcPr>
          <w:p>
            <w:pPr>
              <w:ind w:left="17" w:hanging="17"/>
              <w:spacing w:line="400" w:lineRule="exact"/>
              <w:rPr>
                <w:color w:val="auto"/>
                <w:szCs w:val="21"/>
                <w:highlight w:val="none"/>
              </w:rPr>
            </w:pPr>
            <w:r>
              <w:rPr>
                <w:rFonts w:hint="eastAsia"/>
                <w:color w:val="auto"/>
                <w:szCs w:val="21"/>
                <w:highlight w:val="none"/>
              </w:rPr>
              <w:t xml:space="preserve">产品技术参数全部满足采购文件第四章招标项目的技术规格、要求和数量等的得满分</w:t>
            </w:r>
            <w:r>
              <w:rPr>
                <w:color w:val="auto"/>
                <w:szCs w:val="21"/>
                <w:highlight w:val="none"/>
                <w:lang w:val="en-US"/>
              </w:rPr>
              <w:t xml:space="preserve">35</w:t>
            </w:r>
            <w:r>
              <w:rPr>
                <w:rFonts w:hint="eastAsia"/>
                <w:color w:val="auto"/>
                <w:szCs w:val="21"/>
                <w:highlight w:val="none"/>
              </w:rPr>
              <w:t xml:space="preserve">分；明确标注“★”为关键技术指标，投标人必须完全响应并满足这些条款的要求，如有负偏离直接判定其投标为无效投标或否决其投标，标注“▲”的为重要技术指标，每有一项负偏离扣</w:t>
            </w:r>
            <w:r>
              <w:rPr>
                <w:color w:val="auto"/>
                <w:szCs w:val="21"/>
                <w:highlight w:val="none"/>
                <w:lang w:val="en-US"/>
              </w:rPr>
              <w:t xml:space="preserve">2</w:t>
            </w:r>
            <w:r>
              <w:rPr>
                <w:rFonts w:hint="eastAsia"/>
                <w:color w:val="auto"/>
                <w:szCs w:val="21"/>
                <w:highlight w:val="none"/>
              </w:rPr>
              <w:t xml:space="preserve">分；其他非重要参数，每有一项负偏离扣1分，扣完为止。</w:t>
            </w:r>
            <w:r/>
          </w:p>
          <w:p>
            <w:pPr>
              <w:ind w:left="17" w:hanging="17"/>
              <w:spacing w:line="400" w:lineRule="exact"/>
              <w:rPr>
                <w:color w:val="auto"/>
                <w:highlight w:val="none"/>
              </w:rPr>
            </w:pPr>
            <w:r>
              <w:rPr>
                <w:rFonts w:hint="eastAsia"/>
                <w:color w:val="auto"/>
                <w:szCs w:val="21"/>
                <w:highlight w:val="none"/>
              </w:rPr>
              <w:t xml:space="preserve">备注：投标人须对招标文件技术要求中标注“▲”的参数提供相应技术支持资料(如彩页或说明书或检测报告等)，如果参数后带括号要求提供相关证明材料的，则另须提供相关证明材料，并在技术条款偏离表中详细标明所在投标文件中的页码和位置；其他参数以技术条款偏离中应答为准，如因未在《技术条款偏离表》中注明支持资料具体页码和位置导致本项不得分的，由此产生的后果由供应商自行承担。</w:t>
            </w:r>
            <w:r/>
          </w:p>
        </w:tc>
        <w:tc>
          <w:tcPr>
            <w:tcW w:w="494" w:type="pct"/>
            <w:vAlign w:val="center"/>
            <w:textDirection w:val="lrTb"/>
            <w:noWrap w:val="false"/>
          </w:tcPr>
          <w:p>
            <w:pPr>
              <w:ind w:left="17" w:hanging="17"/>
              <w:jc w:val="center"/>
              <w:spacing w:line="440" w:lineRule="exact"/>
              <w:rPr>
                <w:color w:val="auto"/>
                <w:szCs w:val="21"/>
                <w:highlight w:val="none"/>
                <w:lang w:val="en-US"/>
              </w:rPr>
            </w:pPr>
            <w:r>
              <w:rPr>
                <w:color w:val="auto"/>
                <w:szCs w:val="21"/>
                <w:highlight w:val="none"/>
                <w:lang w:val="en-US"/>
              </w:rPr>
              <w:t xml:space="preserve">35</w:t>
            </w:r>
            <w:r/>
          </w:p>
        </w:tc>
      </w:tr>
      <w:tr>
        <w:trPr>
          <w:jc w:val="center"/>
        </w:trPr>
        <w:tc>
          <w:tcPr>
            <w:tcW w:w="369" w:type="pct"/>
            <w:vAlign w:val="center"/>
            <w:vMerge w:val="restart"/>
            <w:textDirection w:val="lrTb"/>
            <w:noWrap w:val="false"/>
          </w:tcPr>
          <w:p>
            <w:pPr>
              <w:jc w:val="center"/>
              <w:spacing w:line="460" w:lineRule="exact"/>
              <w:rPr>
                <w:color w:val="auto"/>
                <w:szCs w:val="21"/>
                <w:highlight w:val="none"/>
              </w:rPr>
            </w:pPr>
            <w:r>
              <w:rPr>
                <w:rFonts w:hint="eastAsia"/>
                <w:color w:val="auto"/>
                <w:szCs w:val="21"/>
                <w:highlight w:val="none"/>
                <w:lang w:val="en-US"/>
              </w:rPr>
              <w:t xml:space="preserve">3</w:t>
            </w:r>
            <w:r/>
          </w:p>
        </w:tc>
        <w:tc>
          <w:tcPr>
            <w:tcW w:w="707" w:type="pct"/>
            <w:vAlign w:val="center"/>
            <w:vMerge w:val="restart"/>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项目实施方案</w:t>
            </w:r>
            <w:r/>
          </w:p>
        </w:tc>
        <w:tc>
          <w:tcPr>
            <w:shd w:val="clear" w:color="auto" w:fill="auto"/>
            <w:tcW w:w="3430" w:type="pct"/>
            <w:vAlign w:val="center"/>
            <w:textDirection w:val="lrTb"/>
            <w:noWrap w:val="false"/>
          </w:tcPr>
          <w:p>
            <w:pPr>
              <w:pStyle w:val="916"/>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评标委员会根据供应商提供的组织实施方案（包含但不限于项目安全措施、技术控制措施等供货方案和验收方案内容）进行综合评分：</w:t>
            </w:r>
            <w:r/>
          </w:p>
          <w:p>
            <w:pPr>
              <w:pStyle w:val="916"/>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组织实施方案内容完整详实，安全等措施全面可行，供货方案和验收方案符合项目要求的，得</w:t>
            </w:r>
            <w:r>
              <w:rPr>
                <w:color w:val="auto"/>
                <w:sz w:val="22"/>
                <w:szCs w:val="22"/>
                <w:highlight w:val="none"/>
                <w:lang w:val="en-US" w:bidi="ar"/>
              </w:rPr>
              <w:t xml:space="preserve">4</w:t>
            </w:r>
            <w:r>
              <w:rPr>
                <w:rFonts w:hint="eastAsia"/>
                <w:color w:val="auto"/>
                <w:sz w:val="22"/>
                <w:szCs w:val="22"/>
                <w:highlight w:val="none"/>
                <w:lang w:val="en-US" w:bidi="ar"/>
              </w:rPr>
              <w:t xml:space="preserve">分；</w:t>
            </w:r>
            <w:r/>
          </w:p>
          <w:p>
            <w:pPr>
              <w:pStyle w:val="916"/>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组织实施方案内容较为详实，安全等措施较为可行，供货方案和验收方案较符合项目要求的，得</w:t>
            </w:r>
            <w:r>
              <w:rPr>
                <w:color w:val="auto"/>
                <w:sz w:val="22"/>
                <w:szCs w:val="22"/>
                <w:highlight w:val="none"/>
                <w:lang w:val="en-US" w:bidi="ar"/>
              </w:rPr>
              <w:t xml:space="preserve">2</w:t>
            </w:r>
            <w:r>
              <w:rPr>
                <w:rFonts w:hint="eastAsia"/>
                <w:color w:val="auto"/>
                <w:sz w:val="22"/>
                <w:szCs w:val="22"/>
                <w:highlight w:val="none"/>
                <w:lang w:val="en-US" w:bidi="ar"/>
              </w:rPr>
              <w:t xml:space="preserve">分；</w:t>
            </w:r>
            <w:r/>
          </w:p>
          <w:p>
            <w:pPr>
              <w:pStyle w:val="916"/>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组织实施方案内容有所欠缺，安全等措施不太完善，供货方案和验收方案的与项目要求一般符合的，得</w:t>
            </w:r>
            <w:r>
              <w:rPr>
                <w:color w:val="auto"/>
                <w:sz w:val="22"/>
                <w:szCs w:val="22"/>
                <w:highlight w:val="none"/>
                <w:lang w:val="en-US" w:bidi="ar"/>
              </w:rPr>
              <w:t xml:space="preserve">1</w:t>
            </w:r>
            <w:r>
              <w:rPr>
                <w:rFonts w:hint="eastAsia"/>
                <w:color w:val="auto"/>
                <w:sz w:val="22"/>
                <w:szCs w:val="22"/>
                <w:highlight w:val="none"/>
                <w:lang w:val="en-US" w:bidi="ar"/>
              </w:rPr>
              <w:t xml:space="preserve">分；</w:t>
            </w:r>
            <w:r/>
          </w:p>
          <w:p>
            <w:pPr>
              <w:pStyle w:val="916"/>
              <w:spacing w:before="0" w:beforeAutospacing="0" w:after="0" w:afterAutospacing="0" w:line="400" w:lineRule="exact"/>
              <w:widowControl w:val="off"/>
              <w:rPr>
                <w:color w:val="auto"/>
                <w:sz w:val="22"/>
                <w:szCs w:val="22"/>
                <w:highlight w:val="none"/>
                <w:lang w:val="en-US" w:bidi="ar"/>
              </w:rPr>
            </w:pPr>
            <w:r>
              <w:rPr>
                <w:color w:val="auto"/>
                <w:sz w:val="22"/>
                <w:szCs w:val="22"/>
                <w:highlight w:val="none"/>
                <w:lang w:val="en-US" w:bidi="ar"/>
              </w:rPr>
              <w:t xml:space="preserve">未提供的不得分。</w:t>
            </w:r>
            <w:r/>
          </w:p>
        </w:tc>
        <w:tc>
          <w:tcPr>
            <w:tcW w:w="494" w:type="pct"/>
            <w:vAlign w:val="center"/>
            <w:textDirection w:val="lrTb"/>
            <w:noWrap w:val="false"/>
          </w:tcPr>
          <w:p>
            <w:pPr>
              <w:ind w:left="17" w:hanging="17"/>
              <w:jc w:val="center"/>
              <w:spacing w:line="440" w:lineRule="exact"/>
              <w:rPr>
                <w:color w:val="auto"/>
                <w:szCs w:val="21"/>
                <w:highlight w:val="none"/>
                <w:lang w:val="en-US"/>
              </w:rPr>
            </w:pPr>
            <w:r>
              <w:rPr>
                <w:color w:val="auto"/>
                <w:szCs w:val="21"/>
                <w:highlight w:val="none"/>
                <w:lang w:val="en-US"/>
              </w:rPr>
              <w:t xml:space="preserve">4</w:t>
            </w:r>
            <w:r/>
          </w:p>
        </w:tc>
      </w:tr>
      <w:tr>
        <w:trPr>
          <w:jc w:val="center"/>
        </w:trPr>
        <w:tc>
          <w:tcPr>
            <w:tcW w:w="369"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tcW w:w="707"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shd w:val="clear" w:color="auto" w:fill="auto"/>
            <w:tcW w:w="3430" w:type="pct"/>
            <w:vAlign w:val="center"/>
            <w:textDirection w:val="lrTb"/>
            <w:noWrap w:val="false"/>
          </w:tcPr>
          <w:p>
            <w:pPr>
              <w:pStyle w:val="916"/>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评标委员会根据供应商提供的关于本项目的进度计划（包含供货计划、安装计划等）进行综合评分：</w:t>
            </w:r>
            <w:r/>
          </w:p>
          <w:p>
            <w:pPr>
              <w:pStyle w:val="916"/>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进度计划全面具体，科学性与实际可操作性强的得</w:t>
            </w:r>
            <w:r>
              <w:rPr>
                <w:color w:val="auto"/>
                <w:sz w:val="22"/>
                <w:szCs w:val="22"/>
                <w:highlight w:val="none"/>
                <w:lang w:val="en-US" w:bidi="ar"/>
              </w:rPr>
              <w:t xml:space="preserve">4分；</w:t>
            </w:r>
            <w:r/>
          </w:p>
          <w:p>
            <w:pPr>
              <w:pStyle w:val="916"/>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进度计划全面具体，科学性与实际可操作性较强的得</w:t>
            </w:r>
            <w:r>
              <w:rPr>
                <w:color w:val="auto"/>
                <w:sz w:val="22"/>
                <w:szCs w:val="22"/>
                <w:highlight w:val="none"/>
                <w:lang w:val="en-US" w:bidi="ar"/>
              </w:rPr>
              <w:t xml:space="preserve">2分；</w:t>
            </w:r>
            <w:r/>
          </w:p>
          <w:p>
            <w:pPr>
              <w:pStyle w:val="916"/>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进度计划具有一定的全面性、科学性与实际可操作性的得</w:t>
            </w:r>
            <w:r>
              <w:rPr>
                <w:color w:val="auto"/>
                <w:sz w:val="22"/>
                <w:szCs w:val="22"/>
                <w:highlight w:val="none"/>
                <w:lang w:val="en-US" w:bidi="ar"/>
              </w:rPr>
              <w:t xml:space="preserve">1分；未提供的不得分。</w:t>
            </w:r>
            <w:r/>
          </w:p>
        </w:tc>
        <w:tc>
          <w:tcPr>
            <w:tcW w:w="494" w:type="pct"/>
            <w:vAlign w:val="center"/>
            <w:textDirection w:val="lrTb"/>
            <w:noWrap w:val="false"/>
          </w:tcPr>
          <w:p>
            <w:pPr>
              <w:ind w:left="17" w:hanging="17"/>
              <w:jc w:val="center"/>
              <w:spacing w:line="440" w:lineRule="exact"/>
              <w:rPr>
                <w:color w:val="auto"/>
                <w:szCs w:val="21"/>
                <w:highlight w:val="none"/>
                <w:lang w:val="en-US"/>
              </w:rPr>
            </w:pPr>
            <w:r>
              <w:rPr>
                <w:color w:val="auto"/>
                <w:szCs w:val="21"/>
                <w:highlight w:val="none"/>
                <w:lang w:val="en-US"/>
              </w:rPr>
              <w:t xml:space="preserve">4</w:t>
            </w:r>
            <w:r/>
          </w:p>
        </w:tc>
      </w:tr>
      <w:tr>
        <w:trPr>
          <w:jc w:val="center"/>
        </w:trPr>
        <w:tc>
          <w:tcPr>
            <w:tcW w:w="369"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tcW w:w="707" w:type="pct"/>
            <w:vAlign w:val="center"/>
            <w:vMerge w:val="continue"/>
            <w:textDirection w:val="lrTb"/>
            <w:noWrap w:val="false"/>
          </w:tcPr>
          <w:p>
            <w:pPr>
              <w:jc w:val="center"/>
              <w:spacing w:line="460" w:lineRule="exact"/>
              <w:rPr>
                <w:color w:val="auto"/>
                <w:szCs w:val="21"/>
                <w:highlight w:val="none"/>
                <w:lang w:val="en-US"/>
              </w:rPr>
            </w:pPr>
            <w:r>
              <w:rPr>
                <w:color w:val="auto"/>
                <w:szCs w:val="21"/>
                <w:highlight w:val="none"/>
                <w:lang w:val="en-US"/>
              </w:rPr>
            </w:r>
            <w:r/>
          </w:p>
        </w:tc>
        <w:tc>
          <w:tcPr>
            <w:shd w:val="clear" w:color="auto" w:fill="auto"/>
            <w:tcW w:w="3430" w:type="pct"/>
            <w:vAlign w:val="center"/>
            <w:textDirection w:val="lrTb"/>
            <w:noWrap w:val="false"/>
          </w:tcPr>
          <w:p>
            <w:pPr>
              <w:pStyle w:val="916"/>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评标委员会根据供应商提供的关于本项目的质量管理方案（包括质量管理相关要求、质量保证措施等）综合评分：</w:t>
            </w:r>
            <w:r/>
          </w:p>
          <w:p>
            <w:pPr>
              <w:pStyle w:val="916"/>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w:t>
            </w:r>
            <w:r>
              <w:rPr>
                <w:color w:val="auto"/>
                <w:sz w:val="22"/>
                <w:szCs w:val="22"/>
                <w:highlight w:val="none"/>
                <w:lang w:val="en-US" w:bidi="ar"/>
              </w:rPr>
              <w:t xml:space="preserve">1）方案内容完整规范，</w:t>
            </w:r>
            <w:r>
              <w:rPr>
                <w:rFonts w:hint="eastAsia"/>
                <w:color w:val="auto"/>
                <w:sz w:val="22"/>
                <w:szCs w:val="22"/>
                <w:highlight w:val="none"/>
                <w:lang w:val="en-US" w:bidi="ar"/>
              </w:rPr>
              <w:t xml:space="preserve">质量保证措施</w:t>
            </w:r>
            <w:r>
              <w:rPr>
                <w:color w:val="auto"/>
                <w:sz w:val="22"/>
                <w:szCs w:val="22"/>
                <w:highlight w:val="none"/>
                <w:lang w:val="en-US" w:bidi="ar"/>
              </w:rPr>
              <w:t xml:space="preserve">科学合理的，得4分；</w:t>
            </w:r>
            <w:r/>
          </w:p>
          <w:p>
            <w:pPr>
              <w:pStyle w:val="916"/>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w:t>
            </w:r>
            <w:r>
              <w:rPr>
                <w:color w:val="auto"/>
                <w:sz w:val="22"/>
                <w:szCs w:val="22"/>
                <w:highlight w:val="none"/>
                <w:lang w:val="en-US" w:bidi="ar"/>
              </w:rPr>
              <w:t xml:space="preserve">2）方案内容较完整规范，</w:t>
            </w:r>
            <w:r>
              <w:rPr>
                <w:rFonts w:hint="eastAsia"/>
                <w:color w:val="auto"/>
                <w:sz w:val="22"/>
                <w:szCs w:val="22"/>
                <w:highlight w:val="none"/>
                <w:lang w:val="en-US" w:bidi="ar"/>
              </w:rPr>
              <w:t xml:space="preserve">质量保证措施</w:t>
            </w:r>
            <w:r>
              <w:rPr>
                <w:color w:val="auto"/>
                <w:sz w:val="22"/>
                <w:szCs w:val="22"/>
                <w:highlight w:val="none"/>
                <w:lang w:val="en-US" w:bidi="ar"/>
              </w:rPr>
              <w:t xml:space="preserve">较科学合理的，得2分；</w:t>
            </w:r>
            <w:r/>
          </w:p>
          <w:p>
            <w:pPr>
              <w:pStyle w:val="916"/>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w:t>
            </w:r>
            <w:r>
              <w:rPr>
                <w:color w:val="auto"/>
                <w:sz w:val="22"/>
                <w:szCs w:val="22"/>
                <w:highlight w:val="none"/>
                <w:lang w:val="en-US" w:bidi="ar"/>
              </w:rPr>
              <w:t xml:space="preserve">3）方案内容不太完整，</w:t>
            </w:r>
            <w:r>
              <w:rPr>
                <w:rFonts w:hint="eastAsia"/>
                <w:color w:val="auto"/>
                <w:sz w:val="22"/>
                <w:szCs w:val="22"/>
                <w:highlight w:val="none"/>
                <w:lang w:val="en-US" w:bidi="ar"/>
              </w:rPr>
              <w:t xml:space="preserve">质量保证措施</w:t>
            </w:r>
            <w:r>
              <w:rPr>
                <w:color w:val="auto"/>
                <w:sz w:val="22"/>
                <w:szCs w:val="22"/>
                <w:highlight w:val="none"/>
                <w:lang w:val="en-US" w:bidi="ar"/>
              </w:rPr>
              <w:t xml:space="preserve">合理性一般的，得1分；</w:t>
            </w:r>
            <w:r/>
          </w:p>
          <w:p>
            <w:pPr>
              <w:pStyle w:val="916"/>
              <w:contextualSpacing/>
              <w:spacing w:line="400" w:lineRule="exact"/>
              <w:rPr>
                <w:color w:val="auto"/>
                <w:sz w:val="22"/>
                <w:szCs w:val="22"/>
                <w:highlight w:val="none"/>
                <w:lang w:val="en-US" w:bidi="ar"/>
              </w:rPr>
            </w:pPr>
            <w:r>
              <w:rPr>
                <w:rFonts w:hint="eastAsia"/>
                <w:color w:val="auto"/>
                <w:sz w:val="22"/>
                <w:szCs w:val="22"/>
                <w:highlight w:val="none"/>
                <w:lang w:val="en-US" w:bidi="ar"/>
              </w:rPr>
              <w:t xml:space="preserve">未提供的不得分。</w:t>
            </w:r>
            <w:r/>
          </w:p>
        </w:tc>
        <w:tc>
          <w:tcPr>
            <w:tcW w:w="494" w:type="pct"/>
            <w:vAlign w:val="center"/>
            <w:textDirection w:val="lrTb"/>
            <w:noWrap w:val="false"/>
          </w:tcPr>
          <w:p>
            <w:pPr>
              <w:ind w:left="17" w:hanging="17"/>
              <w:jc w:val="center"/>
              <w:spacing w:line="440" w:lineRule="exact"/>
              <w:rPr>
                <w:color w:val="auto"/>
                <w:szCs w:val="21"/>
                <w:highlight w:val="none"/>
                <w:lang w:val="en-US"/>
              </w:rPr>
            </w:pPr>
            <w:r>
              <w:rPr>
                <w:color w:val="auto"/>
                <w:szCs w:val="21"/>
                <w:highlight w:val="none"/>
                <w:lang w:val="en-US"/>
              </w:rPr>
              <w:t xml:space="preserve">4</w:t>
            </w:r>
            <w:r/>
          </w:p>
        </w:tc>
      </w:tr>
      <w:tr>
        <w:trPr>
          <w:jc w:val="center"/>
        </w:trPr>
        <w:tc>
          <w:tcPr>
            <w:tcW w:w="369" w:type="pct"/>
            <w:vAlign w:val="center"/>
            <w:vMerge w:val="continue"/>
            <w:textDirection w:val="lrTb"/>
            <w:noWrap w:val="false"/>
          </w:tcPr>
          <w:p>
            <w:pPr>
              <w:jc w:val="center"/>
              <w:spacing w:line="460" w:lineRule="exact"/>
              <w:rPr>
                <w:color w:val="auto"/>
                <w:szCs w:val="21"/>
                <w:highlight w:val="none"/>
              </w:rPr>
            </w:pPr>
            <w:r>
              <w:rPr>
                <w:color w:val="auto"/>
                <w:szCs w:val="21"/>
                <w:highlight w:val="none"/>
              </w:rPr>
            </w:r>
            <w:r/>
          </w:p>
        </w:tc>
        <w:tc>
          <w:tcPr>
            <w:tcW w:w="707" w:type="pct"/>
            <w:vAlign w:val="center"/>
            <w:vMerge w:val="continue"/>
            <w:textDirection w:val="lrTb"/>
            <w:noWrap w:val="false"/>
          </w:tcPr>
          <w:p>
            <w:pPr>
              <w:jc w:val="center"/>
              <w:spacing w:line="460" w:lineRule="exact"/>
              <w:rPr>
                <w:color w:val="auto"/>
                <w:szCs w:val="21"/>
                <w:highlight w:val="none"/>
              </w:rPr>
            </w:pPr>
            <w:r>
              <w:rPr>
                <w:color w:val="auto"/>
                <w:szCs w:val="21"/>
                <w:highlight w:val="none"/>
              </w:rPr>
            </w:r>
            <w:r/>
          </w:p>
        </w:tc>
        <w:tc>
          <w:tcPr>
            <w:shd w:val="clear" w:color="auto" w:fill="auto"/>
            <w:tcW w:w="3430" w:type="pct"/>
            <w:vAlign w:val="center"/>
            <w:textDirection w:val="lrTb"/>
            <w:noWrap w:val="false"/>
          </w:tcPr>
          <w:p>
            <w:pPr>
              <w:pStyle w:val="916"/>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评标委员会根据供应商提供的关于本项目的培训方案进行综合评分：培训方案体系完善，方案内容完整、科学合理的，得</w:t>
            </w:r>
            <w:r>
              <w:rPr>
                <w:color w:val="auto"/>
                <w:sz w:val="22"/>
                <w:szCs w:val="22"/>
                <w:highlight w:val="none"/>
                <w:lang w:val="en-US" w:bidi="ar"/>
              </w:rPr>
              <w:t xml:space="preserve">4</w:t>
            </w:r>
            <w:r>
              <w:rPr>
                <w:rFonts w:hint="eastAsia"/>
                <w:color w:val="auto"/>
                <w:sz w:val="22"/>
                <w:szCs w:val="22"/>
                <w:highlight w:val="none"/>
                <w:lang w:val="en-US" w:bidi="ar"/>
              </w:rPr>
              <w:t xml:space="preserve">分；</w:t>
            </w:r>
            <w:r/>
          </w:p>
          <w:p>
            <w:pPr>
              <w:pStyle w:val="916"/>
              <w:contextualSpacing/>
              <w:spacing w:before="0" w:beforeAutospacing="0" w:after="0" w:afterAutospacing="0" w:line="400" w:lineRule="exact"/>
              <w:rPr>
                <w:color w:val="auto"/>
                <w:sz w:val="22"/>
                <w:szCs w:val="22"/>
                <w:highlight w:val="none"/>
                <w:lang w:val="en-US" w:bidi="ar"/>
              </w:rPr>
            </w:pPr>
            <w:r>
              <w:rPr>
                <w:rFonts w:hint="eastAsia"/>
                <w:color w:val="auto"/>
                <w:sz w:val="22"/>
                <w:szCs w:val="22"/>
                <w:highlight w:val="none"/>
                <w:lang w:val="en-US" w:bidi="ar"/>
              </w:rPr>
              <w:t xml:space="preserve">培训方案体系较为完善，方案内容较为完整、较科学合理的，得</w:t>
            </w:r>
            <w:r>
              <w:rPr>
                <w:color w:val="auto"/>
                <w:sz w:val="22"/>
                <w:szCs w:val="22"/>
                <w:highlight w:val="none"/>
                <w:lang w:val="en-US" w:bidi="ar"/>
              </w:rPr>
              <w:t xml:space="preserve">2</w:t>
            </w:r>
            <w:r>
              <w:rPr>
                <w:rFonts w:hint="eastAsia"/>
                <w:color w:val="auto"/>
                <w:sz w:val="22"/>
                <w:szCs w:val="22"/>
                <w:highlight w:val="none"/>
                <w:lang w:val="en-US" w:bidi="ar"/>
              </w:rPr>
              <w:t xml:space="preserve">分；</w:t>
            </w:r>
            <w:r/>
          </w:p>
          <w:p>
            <w:pPr>
              <w:pStyle w:val="916"/>
              <w:contextualSpacing/>
              <w:spacing w:before="0" w:beforeAutospacing="0" w:after="0" w:afterAutospacing="0" w:line="400" w:lineRule="exact"/>
              <w:widowControl w:val="off"/>
              <w:rPr>
                <w:color w:val="auto"/>
                <w:sz w:val="22"/>
                <w:szCs w:val="22"/>
                <w:highlight w:val="none"/>
                <w:lang w:val="en-US" w:bidi="ar"/>
              </w:rPr>
            </w:pPr>
            <w:r>
              <w:rPr>
                <w:rFonts w:hint="eastAsia"/>
                <w:color w:val="auto"/>
                <w:sz w:val="22"/>
                <w:szCs w:val="22"/>
                <w:highlight w:val="none"/>
                <w:lang w:val="en-US" w:bidi="ar"/>
              </w:rPr>
              <w:t xml:space="preserve">培训方案体系一般，方案内容有所欠缺、科学性合理性一般的，得</w:t>
            </w:r>
            <w:r>
              <w:rPr>
                <w:color w:val="auto"/>
                <w:sz w:val="22"/>
                <w:szCs w:val="22"/>
                <w:highlight w:val="none"/>
                <w:lang w:val="en-US" w:bidi="ar"/>
              </w:rPr>
              <w:t xml:space="preserve">1</w:t>
            </w:r>
            <w:r>
              <w:rPr>
                <w:rFonts w:hint="eastAsia"/>
                <w:color w:val="auto"/>
                <w:sz w:val="22"/>
                <w:szCs w:val="22"/>
                <w:highlight w:val="none"/>
                <w:lang w:val="en-US" w:bidi="ar"/>
              </w:rPr>
              <w:t xml:space="preserve">分；</w:t>
            </w:r>
            <w:r/>
          </w:p>
          <w:p>
            <w:pPr>
              <w:pStyle w:val="916"/>
              <w:contextualSpacing/>
              <w:spacing w:before="0" w:beforeAutospacing="0" w:after="0" w:afterAutospacing="0" w:line="400" w:lineRule="exact"/>
              <w:widowControl w:val="off"/>
              <w:rPr>
                <w:color w:val="auto"/>
                <w:sz w:val="22"/>
                <w:szCs w:val="22"/>
                <w:highlight w:val="none"/>
                <w:lang w:val="en-US" w:bidi="ar"/>
              </w:rPr>
            </w:pPr>
            <w:r>
              <w:rPr>
                <w:color w:val="auto"/>
                <w:sz w:val="22"/>
                <w:szCs w:val="22"/>
                <w:highlight w:val="none"/>
                <w:lang w:val="en-US" w:bidi="ar"/>
              </w:rPr>
              <w:t xml:space="preserve">未提供的不得分。</w:t>
            </w:r>
            <w:r/>
          </w:p>
        </w:tc>
        <w:tc>
          <w:tcPr>
            <w:tcW w:w="494" w:type="pct"/>
            <w:vAlign w:val="center"/>
            <w:textDirection w:val="lrTb"/>
            <w:noWrap w:val="false"/>
          </w:tcPr>
          <w:p>
            <w:pPr>
              <w:ind w:left="17" w:hanging="17"/>
              <w:jc w:val="center"/>
              <w:spacing w:line="440" w:lineRule="exact"/>
              <w:rPr>
                <w:color w:val="auto"/>
                <w:szCs w:val="21"/>
                <w:highlight w:val="none"/>
                <w:lang w:val="en-US" w:bidi="ar"/>
              </w:rPr>
            </w:pPr>
            <w:r>
              <w:rPr>
                <w:color w:val="auto"/>
                <w:szCs w:val="21"/>
                <w:highlight w:val="none"/>
                <w:lang w:val="en-US" w:bidi="ar"/>
              </w:rPr>
              <w:t xml:space="preserve">4</w:t>
            </w:r>
            <w:r/>
          </w:p>
        </w:tc>
      </w:tr>
      <w:tr>
        <w:trPr>
          <w:jc w:val="center"/>
        </w:trPr>
        <w:tc>
          <w:tcPr>
            <w:tcW w:w="369" w:type="pct"/>
            <w:vMerge w:val="continue"/>
            <w:textDirection w:val="lrTb"/>
            <w:noWrap w:val="false"/>
          </w:tcPr>
          <w:p>
            <w:pPr>
              <w:jc w:val="center"/>
              <w:spacing w:line="460" w:lineRule="exact"/>
              <w:rPr>
                <w:color w:val="auto"/>
                <w:szCs w:val="21"/>
                <w:highlight w:val="none"/>
              </w:rPr>
            </w:pPr>
            <w:r>
              <w:rPr>
                <w:color w:val="auto"/>
                <w:szCs w:val="21"/>
                <w:highlight w:val="none"/>
              </w:rPr>
            </w:r>
            <w:r/>
          </w:p>
        </w:tc>
        <w:tc>
          <w:tcPr>
            <w:tcW w:w="707" w:type="pct"/>
            <w:vMerge w:val="continue"/>
            <w:textDirection w:val="lrTb"/>
            <w:noWrap w:val="false"/>
          </w:tcPr>
          <w:p>
            <w:pPr>
              <w:jc w:val="center"/>
              <w:spacing w:line="460" w:lineRule="exact"/>
              <w:rPr>
                <w:color w:val="auto"/>
                <w:szCs w:val="21"/>
                <w:highlight w:val="none"/>
              </w:rPr>
            </w:pPr>
            <w:r>
              <w:rPr>
                <w:color w:val="auto"/>
                <w:szCs w:val="21"/>
                <w:highlight w:val="none"/>
              </w:rPr>
            </w:r>
            <w:r/>
          </w:p>
        </w:tc>
        <w:tc>
          <w:tcPr>
            <w:shd w:val="clear" w:color="auto" w:fill="auto"/>
            <w:tcW w:w="0" w:type="auto"/>
            <w:vAlign w:val="center"/>
            <w:textDirection w:val="lrTb"/>
            <w:noWrap w:val="false"/>
          </w:tcPr>
          <w:p>
            <w:pPr>
              <w:spacing w:line="400" w:lineRule="exact"/>
              <w:rPr>
                <w:color w:val="auto"/>
                <w:highlight w:val="none"/>
                <w:lang w:val="en-US" w:bidi="ar"/>
              </w:rPr>
            </w:pPr>
            <w:r>
              <w:rPr>
                <w:rFonts w:hint="eastAsia"/>
                <w:color w:val="auto"/>
                <w:highlight w:val="none"/>
                <w:lang w:val="en-US" w:bidi="ar"/>
              </w:rPr>
              <w:t xml:space="preserve">评标委员会根据供应商提供的售后服务方案（服务体系、服务内容、故障解决方案、响应时间、专业技术人员保障及服务电话等）及培训方案等进行综合评分：</w:t>
            </w:r>
            <w:r/>
          </w:p>
          <w:p>
            <w:pPr>
              <w:spacing w:line="400" w:lineRule="exact"/>
              <w:rPr>
                <w:color w:val="auto"/>
                <w:highlight w:val="none"/>
                <w:lang w:val="en-US" w:bidi="ar"/>
              </w:rPr>
            </w:pPr>
            <w:r>
              <w:rPr>
                <w:rFonts w:hint="eastAsia"/>
                <w:color w:val="auto"/>
                <w:highlight w:val="none"/>
                <w:lang w:val="en-US" w:bidi="ar"/>
              </w:rPr>
              <w:t xml:space="preserve">（1）售后服务方案内容完整，服务体系完善，具备完善的故障处理机制，服务响应机制健全，服务团队架构清晰、配置完整，服务人员具备高专业性，服务电话接听及时的，得</w:t>
            </w:r>
            <w:r>
              <w:rPr>
                <w:color w:val="auto"/>
                <w:highlight w:val="none"/>
                <w:lang w:val="en-US" w:bidi="ar"/>
              </w:rPr>
              <w:t xml:space="preserve">4</w:t>
            </w:r>
            <w:r>
              <w:rPr>
                <w:rFonts w:hint="eastAsia"/>
                <w:color w:val="auto"/>
                <w:highlight w:val="none"/>
                <w:lang w:val="en-US" w:bidi="ar"/>
              </w:rPr>
              <w:t xml:space="preserve">分；</w:t>
            </w:r>
            <w:r/>
          </w:p>
          <w:p>
            <w:pPr>
              <w:spacing w:line="400" w:lineRule="exact"/>
              <w:rPr>
                <w:color w:val="auto"/>
                <w:highlight w:val="none"/>
                <w:lang w:val="en-US" w:bidi="ar"/>
              </w:rPr>
            </w:pPr>
            <w:r>
              <w:rPr>
                <w:rFonts w:hint="eastAsia"/>
                <w:bCs/>
                <w:color w:val="auto"/>
                <w:highlight w:val="none"/>
              </w:rPr>
              <w:t xml:space="preserve">（</w:t>
            </w:r>
            <w:r>
              <w:rPr>
                <w:rFonts w:hint="eastAsia"/>
                <w:bCs/>
                <w:color w:val="auto"/>
                <w:highlight w:val="none"/>
                <w:lang w:val="en-US"/>
              </w:rPr>
              <w:t xml:space="preserve">2</w:t>
            </w:r>
            <w:r>
              <w:rPr>
                <w:bCs/>
                <w:color w:val="auto"/>
                <w:highlight w:val="none"/>
              </w:rPr>
              <w:t xml:space="preserve">）</w:t>
            </w:r>
            <w:r>
              <w:rPr>
                <w:rFonts w:hint="eastAsia"/>
                <w:color w:val="auto"/>
                <w:highlight w:val="none"/>
                <w:lang w:val="en-US" w:bidi="ar"/>
              </w:rPr>
              <w:t xml:space="preserve">售后服务方案内容较完整，服务体系较完善，具备较完善的故障处理机制，服务响应机制较健全，服务团队架构较清晰、配置较完整，服务人员具备较高专业性，服务电话接听较及时的，得</w:t>
            </w:r>
            <w:r>
              <w:rPr>
                <w:color w:val="auto"/>
                <w:highlight w:val="none"/>
                <w:lang w:val="en-US" w:bidi="ar"/>
              </w:rPr>
              <w:t xml:space="preserve">2</w:t>
            </w:r>
            <w:r>
              <w:rPr>
                <w:rFonts w:hint="eastAsia"/>
                <w:color w:val="auto"/>
                <w:highlight w:val="none"/>
                <w:lang w:val="en-US" w:bidi="ar"/>
              </w:rPr>
              <w:t xml:space="preserve">分；</w:t>
            </w:r>
            <w:r/>
          </w:p>
          <w:p>
            <w:pPr>
              <w:spacing w:line="400" w:lineRule="exact"/>
              <w:rPr>
                <w:color w:val="auto"/>
                <w:highlight w:val="none"/>
                <w:lang w:val="en-US" w:bidi="ar"/>
              </w:rPr>
            </w:pPr>
            <w:r>
              <w:rPr>
                <w:rFonts w:hint="eastAsia"/>
                <w:bCs/>
                <w:color w:val="auto"/>
                <w:highlight w:val="none"/>
              </w:rPr>
              <w:t xml:space="preserve">（</w:t>
            </w:r>
            <w:r>
              <w:rPr>
                <w:rFonts w:hint="eastAsia"/>
                <w:bCs/>
                <w:color w:val="auto"/>
                <w:highlight w:val="none"/>
                <w:lang w:val="en-US"/>
              </w:rPr>
              <w:t xml:space="preserve">3</w:t>
            </w:r>
            <w:r>
              <w:rPr>
                <w:bCs/>
                <w:color w:val="auto"/>
                <w:highlight w:val="none"/>
              </w:rPr>
              <w:t xml:space="preserve">）</w:t>
            </w:r>
            <w:r>
              <w:rPr>
                <w:rFonts w:hint="eastAsia"/>
                <w:color w:val="auto"/>
                <w:highlight w:val="none"/>
                <w:lang w:val="en-US" w:bidi="ar"/>
              </w:rPr>
              <w:t xml:space="preserve">售后服务方案内容一般，服务体系一般，故障处理机制不太完善，服务响应机制不太健全，服务团队架构不太清晰、配置不太完整，服务人员专业性一般，服务电话接听较及时的，得</w:t>
            </w:r>
            <w:r>
              <w:rPr>
                <w:color w:val="auto"/>
                <w:highlight w:val="none"/>
                <w:lang w:val="en-US" w:bidi="ar"/>
              </w:rPr>
              <w:t xml:space="preserve">1</w:t>
            </w:r>
            <w:r>
              <w:rPr>
                <w:rFonts w:hint="eastAsia"/>
                <w:color w:val="auto"/>
                <w:highlight w:val="none"/>
                <w:lang w:val="en-US" w:bidi="ar"/>
              </w:rPr>
              <w:t xml:space="preserve">分；</w:t>
            </w:r>
            <w:r/>
          </w:p>
          <w:p>
            <w:pPr>
              <w:spacing w:line="400" w:lineRule="exact"/>
              <w:rPr>
                <w:color w:val="auto"/>
                <w:highlight w:val="none"/>
                <w:lang w:val="en-US" w:bidi="ar-SA"/>
              </w:rPr>
            </w:pPr>
            <w:r>
              <w:rPr>
                <w:rFonts w:hint="eastAsia"/>
                <w:color w:val="auto"/>
                <w:highlight w:val="none"/>
                <w:lang w:val="en-US" w:bidi="ar"/>
              </w:rPr>
              <w:t xml:space="preserve">未提供的不得分。</w:t>
            </w:r>
            <w:r/>
          </w:p>
        </w:tc>
        <w:tc>
          <w:tcPr>
            <w:tcW w:w="0" w:type="auto"/>
            <w:vAlign w:val="center"/>
            <w:textDirection w:val="lrTb"/>
            <w:noWrap w:val="false"/>
          </w:tcPr>
          <w:p>
            <w:pPr>
              <w:ind w:left="17" w:hanging="17"/>
              <w:jc w:val="center"/>
              <w:spacing w:line="440" w:lineRule="exact"/>
              <w:rPr>
                <w:color w:val="auto"/>
                <w:szCs w:val="21"/>
                <w:highlight w:val="none"/>
                <w:lang w:val="en-US" w:bidi="ar"/>
              </w:rPr>
            </w:pPr>
            <w:r>
              <w:rPr>
                <w:color w:val="auto"/>
                <w:szCs w:val="21"/>
                <w:highlight w:val="none"/>
                <w:lang w:val="en-US" w:bidi="ar"/>
              </w:rPr>
              <w:t xml:space="preserve">4</w:t>
            </w:r>
            <w:r/>
          </w:p>
        </w:tc>
      </w:tr>
      <w:tr>
        <w:trPr>
          <w:jc w:val="center"/>
        </w:trPr>
        <w:tc>
          <w:tcPr>
            <w:tcW w:w="369"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4</w:t>
            </w:r>
            <w:r/>
          </w:p>
        </w:tc>
        <w:tc>
          <w:tcPr>
            <w:tcW w:w="707"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业绩</w:t>
            </w:r>
            <w:r/>
          </w:p>
        </w:tc>
        <w:tc>
          <w:tcPr>
            <w:shd w:val="clear" w:color="auto" w:fill="auto"/>
            <w:tcW w:w="0" w:type="auto"/>
            <w:vAlign w:val="center"/>
            <w:textDirection w:val="lrTb"/>
            <w:noWrap w:val="false"/>
          </w:tcPr>
          <w:p>
            <w:pPr>
              <w:spacing w:line="400" w:lineRule="exact"/>
              <w:rPr>
                <w:color w:val="auto"/>
                <w:highlight w:val="none"/>
                <w:lang w:val="en-US" w:bidi="ar"/>
              </w:rPr>
            </w:pPr>
            <w:r>
              <w:rPr>
                <w:rFonts w:hint="eastAsia"/>
                <w:color w:val="auto"/>
                <w:highlight w:val="none"/>
                <w:lang w:val="en-US" w:bidi="ar"/>
              </w:rPr>
              <w:t xml:space="preserve">供应商自2023年1月1日（含）（以合同签订时间为准）以来，承担过类似项目业绩的，每有一个得1分，本项最高得3分。</w:t>
            </w:r>
            <w:r/>
          </w:p>
          <w:p>
            <w:pPr>
              <w:spacing w:line="400" w:lineRule="exact"/>
              <w:rPr>
                <w:color w:val="auto"/>
                <w:highlight w:val="none"/>
                <w:lang w:val="en-US" w:bidi="ar"/>
              </w:rPr>
            </w:pPr>
            <w:r>
              <w:rPr>
                <w:rFonts w:hint="eastAsia"/>
                <w:bCs/>
                <w:color w:val="auto"/>
                <w:highlight w:val="none"/>
                <w:lang w:val="en-US" w:bidi="ar"/>
              </w:rPr>
              <w:t xml:space="preserve">注：证明材料包含合同复印件及验收合格材料，未提供或提供不全或模糊不清无法辨认的不得分。</w:t>
            </w:r>
            <w:r>
              <w:rPr>
                <w:rFonts w:hint="eastAsia"/>
                <w:b/>
                <w:color w:val="auto"/>
                <w:highlight w:val="none"/>
                <w:lang w:val="en-US" w:bidi="ar"/>
              </w:rPr>
              <w:t xml:space="preserve">同一业主单位的业绩不重复计分。</w:t>
            </w:r>
            <w:r/>
          </w:p>
        </w:tc>
        <w:tc>
          <w:tcPr>
            <w:tcW w:w="0" w:type="auto"/>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3</w:t>
            </w:r>
            <w:r/>
          </w:p>
        </w:tc>
      </w:tr>
      <w:tr>
        <w:trPr>
          <w:jc w:val="center"/>
        </w:trPr>
        <w:tc>
          <w:tcPr>
            <w:tcW w:w="369"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5</w:t>
            </w:r>
            <w:r/>
          </w:p>
        </w:tc>
        <w:tc>
          <w:tcPr>
            <w:tcW w:w="707"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履约能力</w:t>
            </w:r>
            <w:r/>
          </w:p>
        </w:tc>
        <w:tc>
          <w:tcPr>
            <w:shd w:val="clear" w:color="auto" w:fill="auto"/>
            <w:tcW w:w="0" w:type="auto"/>
            <w:vAlign w:val="center"/>
            <w:textDirection w:val="lrTb"/>
            <w:noWrap w:val="false"/>
          </w:tcPr>
          <w:p>
            <w:pPr>
              <w:contextualSpacing/>
              <w:spacing w:line="400" w:lineRule="exact"/>
              <w:rPr>
                <w:color w:val="auto"/>
                <w:szCs w:val="21"/>
                <w:highlight w:val="none"/>
                <w:lang w:val="en-US" w:bidi="ar"/>
              </w:rPr>
            </w:pPr>
            <w:r>
              <w:rPr>
                <w:color w:val="auto"/>
                <w:szCs w:val="21"/>
                <w:highlight w:val="none"/>
                <w:lang w:val="en-US" w:bidi="ar"/>
              </w:rPr>
              <w:t xml:space="preserve">投标人提供给本项目</w:t>
            </w:r>
            <w:r>
              <w:rPr>
                <w:rFonts w:hint="eastAsia"/>
                <w:color w:val="auto"/>
                <w:szCs w:val="21"/>
                <w:highlight w:val="none"/>
                <w:lang w:val="en-US" w:bidi="ar"/>
              </w:rPr>
              <w:t xml:space="preserve">的人员具</w:t>
            </w:r>
            <w:r>
              <w:rPr>
                <w:color w:val="auto"/>
                <w:szCs w:val="21"/>
                <w:highlight w:val="none"/>
                <w:lang w:val="en-US" w:bidi="ar"/>
              </w:rPr>
              <w:t xml:space="preserve">有电工证的</w:t>
            </w:r>
            <w:r>
              <w:rPr>
                <w:rFonts w:hint="eastAsia"/>
                <w:color w:val="auto"/>
                <w:szCs w:val="21"/>
                <w:highlight w:val="none"/>
                <w:lang w:val="en-US" w:bidi="ar"/>
              </w:rPr>
              <w:t xml:space="preserve">得2</w:t>
            </w:r>
            <w:r>
              <w:rPr>
                <w:color w:val="auto"/>
                <w:szCs w:val="21"/>
                <w:highlight w:val="none"/>
                <w:lang w:val="en-US" w:bidi="ar"/>
              </w:rPr>
              <w:t xml:space="preserve">分，满分</w:t>
            </w:r>
            <w:r>
              <w:rPr>
                <w:rFonts w:hint="eastAsia"/>
                <w:color w:val="auto"/>
                <w:szCs w:val="21"/>
                <w:highlight w:val="none"/>
                <w:lang w:val="en-US" w:bidi="ar"/>
              </w:rPr>
              <w:t xml:space="preserve">2</w:t>
            </w:r>
            <w:r>
              <w:rPr>
                <w:color w:val="auto"/>
                <w:szCs w:val="21"/>
                <w:highlight w:val="none"/>
                <w:lang w:val="en-US" w:bidi="ar"/>
              </w:rPr>
              <w:t xml:space="preserve">分。</w:t>
            </w:r>
            <w:r/>
          </w:p>
          <w:p>
            <w:pPr>
              <w:contextualSpacing/>
              <w:spacing w:line="400" w:lineRule="exact"/>
              <w:rPr>
                <w:color w:val="auto"/>
                <w:szCs w:val="21"/>
                <w:highlight w:val="none"/>
                <w:lang w:bidi="ar"/>
              </w:rPr>
            </w:pPr>
            <w:r>
              <w:rPr>
                <w:rFonts w:hint="eastAsia"/>
                <w:b/>
                <w:bCs/>
                <w:color w:val="auto"/>
                <w:szCs w:val="21"/>
                <w:highlight w:val="none"/>
                <w:lang w:bidi="ar"/>
              </w:rPr>
              <w:t xml:space="preserve">注：提供上述项目团队所有人员名单、证书复印件及提供社保机构出具的近半年内任意连续三个月投标人为其缴纳的社保缴费证明材料否则无效，上述所有证明材料均需加盖投标人公章。</w:t>
            </w:r>
            <w:r/>
          </w:p>
        </w:tc>
        <w:tc>
          <w:tcPr>
            <w:tcW w:w="0" w:type="auto"/>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2</w:t>
            </w:r>
            <w:r/>
          </w:p>
        </w:tc>
      </w:tr>
      <w:tr>
        <w:trPr>
          <w:jc w:val="center"/>
        </w:trPr>
        <w:tc>
          <w:tcPr>
            <w:tcW w:w="369"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6</w:t>
            </w:r>
            <w:r/>
          </w:p>
        </w:tc>
        <w:tc>
          <w:tcPr>
            <w:tcW w:w="707" w:type="pct"/>
            <w:vAlign w:val="center"/>
            <w:textDirection w:val="lrTb"/>
            <w:noWrap w:val="false"/>
          </w:tcPr>
          <w:p>
            <w:pPr>
              <w:jc w:val="center"/>
              <w:spacing w:line="460" w:lineRule="exact"/>
              <w:rPr>
                <w:color w:val="auto"/>
                <w:szCs w:val="21"/>
                <w:highlight w:val="none"/>
                <w:lang w:val="en-US" w:bidi="ar"/>
              </w:rPr>
            </w:pPr>
            <w:r>
              <w:rPr>
                <w:rFonts w:hint="eastAsia"/>
                <w:color w:val="auto"/>
                <w:szCs w:val="21"/>
                <w:highlight w:val="none"/>
                <w:lang w:val="en-US" w:bidi="ar"/>
              </w:rPr>
              <w:t xml:space="preserve">样品展示</w:t>
            </w:r>
            <w:r/>
          </w:p>
        </w:tc>
        <w:tc>
          <w:tcPr>
            <w:shd w:val="clear" w:color="auto" w:fill="auto"/>
            <w:tcW w:w="0" w:type="auto"/>
            <w:vAlign w:val="center"/>
            <w:textDirection w:val="lrTb"/>
            <w:noWrap w:val="false"/>
          </w:tcPr>
          <w:p>
            <w:pPr>
              <w:ind w:firstLine="480"/>
              <w:spacing w:line="400" w:lineRule="exact"/>
              <w:widowControl/>
              <w:rPr>
                <w:color w:val="auto"/>
                <w:szCs w:val="21"/>
                <w:highlight w:val="none"/>
                <w:lang w:val="en-US" w:bidi="ar"/>
              </w:rPr>
            </w:pPr>
            <w:r>
              <w:rPr>
                <w:rFonts w:hint="eastAsia"/>
                <w:color w:val="auto"/>
                <w:szCs w:val="21"/>
                <w:highlight w:val="none"/>
                <w:lang w:val="en-US" w:bidi="ar"/>
              </w:rPr>
              <w:t xml:space="preserve">供应商提供智慧多功能绘图组合1一套，评标委员会在投标人提供的符合招标文件技术参数、材质要求的前提下，根据综合比较打分。</w:t>
            </w:r>
            <w:r/>
          </w:p>
          <w:p>
            <w:pPr>
              <w:ind w:firstLine="480"/>
              <w:spacing w:line="400" w:lineRule="exact"/>
              <w:widowControl/>
              <w:rPr>
                <w:color w:val="auto"/>
                <w:szCs w:val="21"/>
                <w:highlight w:val="none"/>
                <w:lang w:val="en-US" w:bidi="ar"/>
              </w:rPr>
            </w:pPr>
            <w:r>
              <w:rPr>
                <w:rFonts w:hint="eastAsia"/>
                <w:color w:val="auto"/>
                <w:szCs w:val="21"/>
                <w:highlight w:val="none"/>
                <w:lang w:val="en-US" w:bidi="ar"/>
              </w:rPr>
              <w:t xml:space="preserve">（</w:t>
            </w:r>
            <w:r>
              <w:rPr>
                <w:color w:val="auto"/>
                <w:szCs w:val="21"/>
                <w:highlight w:val="none"/>
                <w:lang w:val="en-US" w:bidi="ar"/>
              </w:rPr>
              <w:t xml:space="preserve">1）样品的外观和造型：（</w:t>
            </w:r>
            <w:r>
              <w:rPr>
                <w:rFonts w:hint="eastAsia"/>
                <w:color w:val="auto"/>
                <w:szCs w:val="21"/>
                <w:highlight w:val="none"/>
                <w:lang w:val="en-US" w:bidi="ar"/>
              </w:rPr>
              <w:t xml:space="preserve">4</w:t>
            </w:r>
            <w:r>
              <w:rPr>
                <w:color w:val="auto"/>
                <w:szCs w:val="21"/>
                <w:highlight w:val="none"/>
                <w:lang w:val="en-US" w:bidi="ar"/>
              </w:rPr>
              <w:t xml:space="preserve">分）</w:t>
            </w:r>
            <w:r/>
          </w:p>
          <w:p>
            <w:pPr>
              <w:ind w:firstLine="480"/>
              <w:spacing w:line="400" w:lineRule="exact"/>
              <w:widowControl/>
              <w:rPr>
                <w:color w:val="auto"/>
                <w:szCs w:val="21"/>
                <w:highlight w:val="none"/>
                <w:lang w:val="en-US" w:bidi="ar"/>
              </w:rPr>
            </w:pPr>
            <w:r>
              <w:rPr>
                <w:rFonts w:hint="eastAsia"/>
                <w:color w:val="auto"/>
                <w:szCs w:val="21"/>
                <w:highlight w:val="none"/>
                <w:lang w:val="en-US" w:bidi="ar"/>
              </w:rPr>
              <w:t xml:space="preserve">外观和造型等方面优于招标文件要求的得4</w:t>
            </w:r>
            <w:r>
              <w:rPr>
                <w:color w:val="auto"/>
                <w:szCs w:val="21"/>
                <w:highlight w:val="none"/>
                <w:lang w:val="en-US" w:bidi="ar"/>
              </w:rPr>
              <w:t xml:space="preserve">分；</w:t>
            </w:r>
            <w:r/>
          </w:p>
          <w:p>
            <w:pPr>
              <w:ind w:firstLine="480"/>
              <w:spacing w:line="400" w:lineRule="exact"/>
              <w:widowControl/>
              <w:rPr>
                <w:color w:val="auto"/>
                <w:szCs w:val="21"/>
                <w:highlight w:val="none"/>
                <w:lang w:val="en-US" w:bidi="ar"/>
              </w:rPr>
            </w:pPr>
            <w:r>
              <w:rPr>
                <w:rFonts w:hint="eastAsia"/>
                <w:color w:val="auto"/>
                <w:szCs w:val="21"/>
                <w:highlight w:val="none"/>
                <w:lang w:val="en-US" w:bidi="ar"/>
              </w:rPr>
              <w:t xml:space="preserve">满足招标文件要求的得2</w:t>
            </w:r>
            <w:r>
              <w:rPr>
                <w:color w:val="auto"/>
                <w:szCs w:val="21"/>
                <w:highlight w:val="none"/>
                <w:lang w:val="en-US" w:bidi="ar"/>
              </w:rPr>
              <w:t xml:space="preserve">分；</w:t>
            </w:r>
            <w:r/>
          </w:p>
          <w:p>
            <w:pPr>
              <w:ind w:firstLine="480"/>
              <w:spacing w:line="400" w:lineRule="exact"/>
              <w:widowControl/>
              <w:rPr>
                <w:color w:val="auto"/>
                <w:szCs w:val="21"/>
                <w:highlight w:val="none"/>
                <w:lang w:val="en-US" w:bidi="ar"/>
              </w:rPr>
            </w:pPr>
            <w:r>
              <w:rPr>
                <w:rFonts w:hint="eastAsia"/>
                <w:color w:val="auto"/>
                <w:szCs w:val="21"/>
                <w:highlight w:val="none"/>
                <w:lang w:val="en-US" w:bidi="ar"/>
              </w:rPr>
              <w:t xml:space="preserve">不满足或样品递交不全或未按照招标文件要求递交样品的不得分。</w:t>
            </w:r>
            <w:r/>
          </w:p>
          <w:p>
            <w:pPr>
              <w:ind w:firstLine="480"/>
              <w:spacing w:line="400" w:lineRule="exact"/>
              <w:widowControl/>
              <w:rPr>
                <w:color w:val="auto"/>
                <w:szCs w:val="21"/>
                <w:highlight w:val="none"/>
                <w:lang w:val="en-US" w:bidi="ar"/>
              </w:rPr>
            </w:pPr>
            <w:r>
              <w:rPr>
                <w:rFonts w:hint="eastAsia"/>
                <w:color w:val="auto"/>
                <w:szCs w:val="21"/>
                <w:highlight w:val="none"/>
                <w:lang w:val="en-US" w:bidi="ar"/>
              </w:rPr>
              <w:t xml:space="preserve">（</w:t>
            </w:r>
            <w:r>
              <w:rPr>
                <w:color w:val="auto"/>
                <w:szCs w:val="21"/>
                <w:highlight w:val="none"/>
                <w:lang w:val="en-US" w:bidi="ar"/>
              </w:rPr>
              <w:t xml:space="preserve">2）样品的工艺和细节处理：（</w:t>
            </w:r>
            <w:r>
              <w:rPr>
                <w:rFonts w:hint="eastAsia"/>
                <w:color w:val="auto"/>
                <w:szCs w:val="21"/>
                <w:highlight w:val="none"/>
                <w:lang w:val="en-US" w:bidi="ar"/>
              </w:rPr>
              <w:t xml:space="preserve">4</w:t>
            </w:r>
            <w:r>
              <w:rPr>
                <w:color w:val="auto"/>
                <w:szCs w:val="21"/>
                <w:highlight w:val="none"/>
                <w:lang w:val="en-US" w:bidi="ar"/>
              </w:rPr>
              <w:t xml:space="preserve">分）</w:t>
            </w:r>
            <w:r/>
          </w:p>
          <w:p>
            <w:pPr>
              <w:ind w:firstLine="480"/>
              <w:spacing w:line="400" w:lineRule="exact"/>
              <w:widowControl/>
              <w:rPr>
                <w:color w:val="auto"/>
                <w:szCs w:val="21"/>
                <w:highlight w:val="none"/>
                <w:lang w:val="en-US" w:bidi="ar"/>
              </w:rPr>
            </w:pPr>
            <w:r>
              <w:rPr>
                <w:rFonts w:hint="eastAsia"/>
                <w:color w:val="auto"/>
                <w:szCs w:val="21"/>
                <w:highlight w:val="none"/>
                <w:lang w:val="en-US" w:bidi="ar"/>
              </w:rPr>
              <w:t xml:space="preserve">材质、工艺、细节等方面优于招标文件要求的得4</w:t>
            </w:r>
            <w:r>
              <w:rPr>
                <w:color w:val="auto"/>
                <w:szCs w:val="21"/>
                <w:highlight w:val="none"/>
                <w:lang w:val="en-US" w:bidi="ar"/>
              </w:rPr>
              <w:t xml:space="preserve">分；</w:t>
            </w:r>
            <w:r/>
          </w:p>
          <w:p>
            <w:pPr>
              <w:ind w:firstLine="480"/>
              <w:spacing w:line="400" w:lineRule="exact"/>
              <w:widowControl/>
              <w:rPr>
                <w:color w:val="auto"/>
                <w:szCs w:val="21"/>
                <w:highlight w:val="none"/>
                <w:lang w:val="en-US" w:bidi="ar"/>
              </w:rPr>
            </w:pPr>
            <w:r>
              <w:rPr>
                <w:rFonts w:hint="eastAsia"/>
                <w:color w:val="auto"/>
                <w:szCs w:val="21"/>
                <w:highlight w:val="none"/>
                <w:lang w:val="en-US" w:bidi="ar"/>
              </w:rPr>
              <w:t xml:space="preserve">满足招标文件要求的得2</w:t>
            </w:r>
            <w:r>
              <w:rPr>
                <w:color w:val="auto"/>
                <w:szCs w:val="21"/>
                <w:highlight w:val="none"/>
                <w:lang w:val="en-US" w:bidi="ar"/>
              </w:rPr>
              <w:t xml:space="preserve">分；</w:t>
            </w:r>
            <w:r/>
          </w:p>
          <w:p>
            <w:pPr>
              <w:contextualSpacing/>
              <w:ind w:firstLine="660"/>
              <w:spacing w:line="400" w:lineRule="exact"/>
              <w:rPr>
                <w:color w:val="auto"/>
                <w:szCs w:val="21"/>
                <w:highlight w:val="none"/>
                <w:lang w:val="en-US" w:bidi="ar"/>
              </w:rPr>
            </w:pPr>
            <w:r>
              <w:rPr>
                <w:rFonts w:hint="eastAsia"/>
                <w:color w:val="auto"/>
                <w:szCs w:val="21"/>
                <w:highlight w:val="none"/>
                <w:lang w:val="en-US" w:bidi="ar"/>
              </w:rPr>
              <w:t xml:space="preserve">不满足或样品递交不全或未按照招标文件要求递交样品的不得分。备注：未提供样品、样品数量不足、不符合招标文件技术要求不得分。</w:t>
            </w:r>
            <w:r/>
          </w:p>
        </w:tc>
        <w:tc>
          <w:tcPr>
            <w:tcW w:w="0" w:type="auto"/>
            <w:vAlign w:val="center"/>
            <w:textDirection w:val="lrTb"/>
            <w:noWrap w:val="false"/>
          </w:tcPr>
          <w:p>
            <w:pPr>
              <w:ind w:left="17" w:hanging="17"/>
              <w:jc w:val="center"/>
              <w:spacing w:line="440" w:lineRule="exact"/>
              <w:rPr>
                <w:color w:val="auto"/>
                <w:szCs w:val="21"/>
                <w:highlight w:val="none"/>
                <w:lang w:val="en-US" w:bidi="ar"/>
              </w:rPr>
            </w:pPr>
            <w:r>
              <w:rPr>
                <w:rFonts w:hint="eastAsia"/>
                <w:color w:val="auto"/>
                <w:szCs w:val="21"/>
                <w:highlight w:val="none"/>
                <w:lang w:val="en-US" w:bidi="ar"/>
              </w:rPr>
              <w:t xml:space="preserve">8</w:t>
            </w:r>
            <w:r/>
          </w:p>
        </w:tc>
      </w:tr>
      <w:tr>
        <w:trPr>
          <w:jc w:val="center"/>
        </w:trPr>
        <w:tc>
          <w:tcPr>
            <w:tcW w:w="369" w:type="pct"/>
            <w:vAlign w:val="center"/>
            <w:textDirection w:val="lrTb"/>
            <w:noWrap w:val="false"/>
          </w:tcPr>
          <w:p>
            <w:pPr>
              <w:jc w:val="center"/>
              <w:spacing w:line="460" w:lineRule="exact"/>
              <w:rPr>
                <w:color w:val="auto"/>
                <w:szCs w:val="21"/>
                <w:highlight w:val="none"/>
                <w:lang w:val="en-US"/>
              </w:rPr>
            </w:pPr>
            <w:r>
              <w:rPr>
                <w:rFonts w:hint="eastAsia"/>
                <w:color w:val="auto"/>
                <w:szCs w:val="21"/>
                <w:highlight w:val="none"/>
                <w:lang w:val="en-US"/>
              </w:rPr>
              <w:t xml:space="preserve">7</w:t>
            </w:r>
            <w:r/>
          </w:p>
        </w:tc>
        <w:tc>
          <w:tcPr>
            <w:tcW w:w="707" w:type="pct"/>
            <w:vAlign w:val="center"/>
            <w:textDirection w:val="lrTb"/>
            <w:noWrap w:val="false"/>
          </w:tcPr>
          <w:p>
            <w:pPr>
              <w:jc w:val="center"/>
              <w:spacing w:line="460" w:lineRule="exact"/>
              <w:rPr>
                <w:color w:val="auto"/>
                <w:szCs w:val="21"/>
                <w:highlight w:val="none"/>
                <w:lang w:val="en-US" w:bidi="ar"/>
              </w:rPr>
            </w:pPr>
            <w:r>
              <w:rPr>
                <w:rFonts w:hint="eastAsia"/>
                <w:color w:val="auto"/>
                <w:szCs w:val="21"/>
                <w:highlight w:val="none"/>
              </w:rPr>
              <w:t xml:space="preserve">节能环保</w:t>
            </w:r>
            <w:r/>
          </w:p>
        </w:tc>
        <w:tc>
          <w:tcPr>
            <w:shd w:val="clear" w:color="auto" w:fill="auto"/>
            <w:tcW w:w="0" w:type="auto"/>
            <w:vAlign w:val="center"/>
            <w:textDirection w:val="lrTb"/>
            <w:noWrap w:val="false"/>
          </w:tcPr>
          <w:p>
            <w:pPr>
              <w:ind w:firstLine="440"/>
              <w:spacing w:line="360" w:lineRule="auto"/>
              <w:rPr>
                <w:color w:val="auto"/>
                <w:szCs w:val="21"/>
                <w:highlight w:val="none"/>
              </w:rPr>
            </w:pPr>
            <w:r>
              <w:rPr>
                <w:color w:val="auto"/>
                <w:szCs w:val="21"/>
                <w:highlight w:val="none"/>
              </w:rPr>
              <w:t xml:space="preserve">1</w:t>
            </w:r>
            <w:r>
              <w:rPr>
                <w:rFonts w:hint="eastAsia"/>
                <w:color w:val="auto"/>
                <w:szCs w:val="21"/>
                <w:highlight w:val="none"/>
              </w:rPr>
              <w:t xml:space="preserve">、</w:t>
            </w:r>
            <w:r>
              <w:rPr>
                <w:color w:val="auto"/>
                <w:szCs w:val="21"/>
                <w:highlight w:val="none"/>
              </w:rPr>
              <w:t xml:space="preserve">投标产品属于财政部、国家发改委公布的“节能产品品目清单”范围内的，投标人提供国家确定的认证机构出具的、处于有效期之内的该节能产品认证证书复印件的，得1分。如投标产品均属于政府强制采购节能产品品目清单范围内，本项不得分。</w:t>
            </w:r>
            <w:r/>
          </w:p>
          <w:p>
            <w:pPr>
              <w:ind w:firstLine="480"/>
              <w:spacing w:line="400" w:lineRule="exact"/>
              <w:widowControl/>
              <w:rPr>
                <w:color w:val="auto"/>
                <w:szCs w:val="21"/>
                <w:highlight w:val="none"/>
                <w:lang w:val="en-US" w:bidi="ar"/>
              </w:rPr>
            </w:pPr>
            <w:r>
              <w:rPr>
                <w:color w:val="auto"/>
                <w:szCs w:val="21"/>
                <w:highlight w:val="none"/>
              </w:rPr>
              <w:t xml:space="preserve">2</w:t>
            </w:r>
            <w:r>
              <w:rPr>
                <w:rFonts w:hint="eastAsia"/>
                <w:color w:val="auto"/>
                <w:szCs w:val="21"/>
                <w:highlight w:val="none"/>
              </w:rPr>
              <w:t xml:space="preserve">、</w:t>
            </w:r>
            <w:r>
              <w:rPr>
                <w:color w:val="auto"/>
                <w:szCs w:val="21"/>
                <w:highlight w:val="none"/>
              </w:rPr>
              <w:t xml:space="preserve">投标产品属于财政部、生态环境部公布的“环境标志产品品目清单”范围内的，投标人提供国家确定的认证机构出具的、处于有效期内的该投标产品环境标志产品认证证书复印件的得 1分。</w:t>
            </w:r>
            <w:r/>
          </w:p>
        </w:tc>
        <w:tc>
          <w:tcPr>
            <w:tcW w:w="0" w:type="auto"/>
            <w:vAlign w:val="center"/>
            <w:textDirection w:val="lrTb"/>
            <w:noWrap w:val="false"/>
          </w:tcPr>
          <w:p>
            <w:pPr>
              <w:spacing w:line="288" w:lineRule="auto"/>
              <w:rPr>
                <w:strike/>
                <w:color w:val="auto"/>
                <w:szCs w:val="21"/>
                <w:highlight w:val="none"/>
              </w:rPr>
            </w:pPr>
            <w:r>
              <w:rPr>
                <w:strike/>
                <w:color w:val="auto"/>
                <w:szCs w:val="21"/>
                <w:highlight w:val="none"/>
              </w:rPr>
            </w:r>
            <w:r/>
          </w:p>
          <w:p>
            <w:pPr>
              <w:ind w:left="17" w:hanging="17"/>
              <w:jc w:val="center"/>
              <w:spacing w:line="440" w:lineRule="exact"/>
              <w:rPr>
                <w:color w:val="auto"/>
                <w:szCs w:val="21"/>
                <w:highlight w:val="none"/>
                <w:lang w:val="en-US" w:bidi="ar"/>
              </w:rPr>
            </w:pPr>
            <w:r>
              <w:rPr>
                <w:color w:val="auto"/>
                <w:szCs w:val="21"/>
                <w:highlight w:val="none"/>
              </w:rPr>
              <w:t xml:space="preserve">2</w:t>
            </w:r>
            <w:r/>
          </w:p>
        </w:tc>
      </w:tr>
    </w:tbl>
    <w:p>
      <w:pPr>
        <w:rPr>
          <w:b/>
          <w:color w:val="auto"/>
          <w:highlight w:val="none"/>
        </w:rPr>
      </w:pPr>
      <w:r>
        <w:rPr>
          <w:rStyle w:val="1109"/>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color w:val="auto"/>
          <w:szCs w:val="21"/>
          <w:highlight w:val="none"/>
        </w:rPr>
      </w:pPr>
      <w:r>
        <w:rPr>
          <w:rFonts w:hint="eastAsia"/>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（2）对于非专门面向中小企业的</w:t>
      </w:r>
      <w:r>
        <w:rPr>
          <w:rFonts w:hint="eastAsia"/>
          <w:bCs/>
          <w:color w:val="auto"/>
          <w:szCs w:val="21"/>
          <w:highlight w:val="none"/>
          <w:lang w:bidi="ar"/>
        </w:rPr>
        <w:t xml:space="preserve">货物</w:t>
      </w:r>
      <w:r>
        <w:rPr>
          <w:rFonts w:hint="eastAsia"/>
          <w:color w:val="auto"/>
          <w:szCs w:val="21"/>
          <w:highlight w:val="none"/>
          <w:lang w:bidi="ar"/>
        </w:rPr>
        <w:t xml:space="preserve">采购项目</w:t>
      </w:r>
      <w:r>
        <w:rPr>
          <w:rFonts w:hint="eastAsia"/>
          <w:bCs/>
          <w:color w:val="auto"/>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auto"/>
          <w:highlight w:val="none"/>
        </w:rPr>
      </w:pPr>
      <w:r>
        <w:rPr>
          <w:rStyle w:val="1109"/>
          <w:rFonts w:hint="eastAsia" w:ascii="宋体" w:hAnsi="宋体" w:cs="宋体"/>
          <w:color w:val="auto"/>
          <w:szCs w:val="21"/>
          <w:highlight w:val="none"/>
          <w:lang w:bidi="ar"/>
        </w:rPr>
        <w:t xml:space="preserve">（3）供应商需按照采购文件的要求提供相应的《中小企业声明函》。</w:t>
      </w:r>
      <w:r/>
    </w:p>
    <w:p>
      <w:pPr>
        <w:ind w:firstLine="440"/>
        <w:spacing w:line="360" w:lineRule="auto"/>
        <w:rPr>
          <w:color w:val="auto"/>
          <w:highlight w:val="none"/>
        </w:rPr>
      </w:pPr>
      <w:r>
        <w:rPr>
          <w:rStyle w:val="1109"/>
          <w:rFonts w:hint="eastAsia" w:ascii="宋体" w:hAnsi="宋体" w:cs="宋体"/>
          <w:color w:val="auto"/>
          <w:szCs w:val="21"/>
          <w:highlight w:val="none"/>
          <w:lang w:bidi="ar"/>
        </w:rPr>
        <w:t xml:space="preserve">（4）企业标准请参照《关于印发中小企业划型标准规定的通知》（工信部联企业[2011]300</w:t>
      </w:r>
      <w:r>
        <w:rPr>
          <w:rStyle w:val="1109"/>
          <w:color w:val="auto"/>
          <w:szCs w:val="21"/>
          <w:highlight w:val="none"/>
          <w:lang w:bidi="ar"/>
        </w:rPr>
        <w:t xml:space="preserve"> </w:t>
      </w:r>
      <w:r>
        <w:rPr>
          <w:rStyle w:val="1109"/>
          <w:rFonts w:hint="eastAsia" w:ascii="宋体" w:hAnsi="宋体" w:cs="宋体"/>
          <w:color w:val="auto"/>
          <w:szCs w:val="21"/>
          <w:highlight w:val="none"/>
          <w:lang w:bidi="ar"/>
        </w:rPr>
        <w:t xml:space="preserve">号）文件规定自行填写。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（1）本项目对监狱和戒毒企业（简称监狱企业），给予报价10%的价格扣除，用扣除后的价格参与评审。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lang w:bidi="ar"/>
        </w:rPr>
        <w:t xml:space="preserve">（3）监狱企业标准请参照《关于政府采购支持监狱企业发展有关问题的通知》（财库〔2014〕68号）。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（1）本项目对残疾人福利性单位，给予报价10%的价格扣除，用扣除后的价格参与评审。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（2）残疾人福利单位需按照采购文件的要求提供《残疾人福利性单位声明函》。</w:t>
      </w:r>
      <w:r/>
    </w:p>
    <w:p>
      <w:pPr>
        <w:ind w:firstLine="440"/>
        <w:spacing w:line="360" w:lineRule="auto"/>
        <w:rPr>
          <w:color w:val="auto"/>
          <w:szCs w:val="21"/>
          <w:highlight w:val="none"/>
        </w:rPr>
      </w:pPr>
      <w:r>
        <w:rPr>
          <w:rFonts w:hint="eastAsia"/>
          <w:color w:val="auto"/>
          <w:szCs w:val="21"/>
          <w:highlight w:val="none"/>
          <w:lang w:bidi="ar"/>
        </w:rPr>
        <w:t xml:space="preserve">（3）残疾人福利单位标准请参照《关于促进残疾人就业政府采购政策的通知》（财库〔2017〕141号）。</w:t>
      </w:r>
      <w:r/>
    </w:p>
    <w:p>
      <w:pPr>
        <w:ind w:firstLine="442"/>
        <w:spacing w:line="360" w:lineRule="auto"/>
        <w:rPr>
          <w:b/>
          <w:bCs/>
          <w:color w:val="auto"/>
          <w:szCs w:val="21"/>
          <w:highlight w:val="none"/>
        </w:rPr>
      </w:pPr>
      <w:r>
        <w:rPr>
          <w:rFonts w:hint="eastAsia"/>
          <w:b/>
          <w:bCs/>
          <w:color w:val="auto"/>
          <w:szCs w:val="21"/>
          <w:highlight w:val="none"/>
          <w:lang w:bidi="ar"/>
        </w:rPr>
        <w:t xml:space="preserve">4、监狱企业、残疾人福利性单位属于小微企业的，不重复享受政策。</w:t>
      </w:r>
      <w:r/>
    </w:p>
    <w:p>
      <w:pPr>
        <w:ind w:firstLine="442"/>
        <w:spacing w:line="360" w:lineRule="auto"/>
        <w:rPr>
          <w:b/>
          <w:color w:val="auto"/>
          <w:szCs w:val="21"/>
          <w:highlight w:val="none"/>
          <w:lang w:bidi="ar"/>
        </w:rPr>
      </w:pPr>
      <w:r>
        <w:rPr>
          <w:b/>
          <w:color w:val="auto"/>
          <w:szCs w:val="21"/>
          <w:highlight w:val="none"/>
          <w:lang w:bidi="ar"/>
        </w:rPr>
        <w:t xml:space="preserve">5</w:t>
      </w:r>
      <w:r>
        <w:rPr>
          <w:rFonts w:hint="eastAsia"/>
          <w:b/>
          <w:color w:val="auto"/>
          <w:szCs w:val="21"/>
          <w:highlight w:val="none"/>
          <w:lang w:bidi="ar"/>
        </w:rPr>
        <w:t xml:space="preserve">、采购本国产品的支持政策</w:t>
      </w:r>
      <w:r/>
    </w:p>
    <w:p>
      <w:pPr>
        <w:ind w:firstLine="440"/>
        <w:spacing w:line="360" w:lineRule="auto"/>
        <w:rPr>
          <w:color w:val="auto"/>
          <w:szCs w:val="21"/>
          <w:highlight w:val="none"/>
          <w:lang w:bidi="ar"/>
        </w:rPr>
      </w:pPr>
      <w:r>
        <w:rPr>
          <w:rFonts w:hint="eastAsia"/>
          <w:color w:val="auto"/>
          <w:szCs w:val="21"/>
          <w:highlight w:val="none"/>
          <w:lang w:bidi="ar"/>
        </w:rPr>
        <w:t xml:space="preserve">（1）</w:t>
      </w:r>
      <w:r>
        <w:rPr>
          <w:color w:val="auto"/>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auto"/>
          <w:szCs w:val="21"/>
          <w:highlight w:val="none"/>
          <w:lang w:bidi="ar"/>
        </w:rPr>
      </w:pPr>
      <w:r>
        <w:rPr>
          <w:rFonts w:hint="eastAsia"/>
          <w:color w:val="auto"/>
          <w:szCs w:val="21"/>
          <w:highlight w:val="none"/>
          <w:lang w:bidi="ar"/>
        </w:rPr>
        <w:t xml:space="preserve">（2）</w:t>
      </w:r>
      <w:r>
        <w:rPr>
          <w:color w:val="auto"/>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（3）</w:t>
      </w:r>
      <w:r>
        <w:rPr>
          <w:color w:val="auto"/>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（4）</w:t>
      </w:r>
      <w:r>
        <w:rPr>
          <w:color w:val="auto"/>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（5）</w:t>
      </w:r>
      <w:r>
        <w:rPr>
          <w:color w:val="auto"/>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auto"/>
          <w:szCs w:val="21"/>
          <w:highlight w:val="none"/>
          <w:lang w:bidi="ar"/>
        </w:rPr>
      </w:pPr>
      <w:r>
        <w:rPr>
          <w:color w:val="auto"/>
          <w:szCs w:val="21"/>
          <w:highlight w:val="none"/>
          <w:lang w:bidi="ar"/>
        </w:rPr>
        <w:br w:type="page" w:clear="all"/>
      </w:r>
      <w:r/>
    </w:p>
    <w:p>
      <w:pPr>
        <w:contextualSpacing/>
        <w:jc w:val="center"/>
        <w:spacing w:line="360" w:lineRule="auto"/>
        <w:rPr>
          <w:rFonts w:ascii="黑体" w:eastAsia="黑体"/>
          <w:b/>
          <w:color w:val="auto"/>
          <w:sz w:val="36"/>
          <w:highlight w:val="none"/>
        </w:rPr>
      </w:pPr>
      <w:r>
        <w:rPr>
          <w:rFonts w:hint="eastAsia" w:ascii="黑体" w:eastAsia="黑体"/>
          <w:b/>
          <w:color w:val="auto"/>
          <w:sz w:val="36"/>
          <w:highlight w:val="none"/>
        </w:rPr>
        <w:t xml:space="preserve">第四章 招标项目的技术规格、要求和数量等</w:t>
      </w:r>
      <w:bookmarkEnd w:id="21"/>
      <w:r/>
      <w:r/>
    </w:p>
    <w:p>
      <w:pPr>
        <w:spacing w:line="360" w:lineRule="auto"/>
        <w:rPr>
          <w:b/>
          <w:color w:val="auto"/>
          <w:sz w:val="24"/>
          <w:szCs w:val="32"/>
          <w:highlight w:val="none"/>
        </w:rPr>
      </w:pPr>
      <w:r/>
      <w:bookmarkStart w:id="22" w:name="_Toc17931"/>
      <w:r>
        <w:rPr>
          <w:rFonts w:hint="eastAsia" w:ascii="Times New Roman" w:hAnsi="Times New Roman" w:cs="Times New Roman"/>
          <w:b/>
          <w:color w:val="auto"/>
          <w:sz w:val="24"/>
          <w:szCs w:val="32"/>
          <w:highlight w:val="none"/>
          <w:lang w:val="en-US" w:bidi="ar-SA"/>
        </w:rPr>
        <w:t xml:space="preserve">一、</w:t>
      </w:r>
      <w:r>
        <w:rPr>
          <w:b/>
          <w:color w:val="auto"/>
          <w:sz w:val="24"/>
          <w:szCs w:val="32"/>
          <w:highlight w:val="none"/>
        </w:rPr>
        <w:t xml:space="preserve">项目</w:t>
      </w:r>
      <w:r>
        <w:rPr>
          <w:rFonts w:hint="eastAsia"/>
          <w:b/>
          <w:color w:val="auto"/>
          <w:sz w:val="24"/>
          <w:szCs w:val="32"/>
          <w:highlight w:val="none"/>
          <w:lang w:val="en-US"/>
        </w:rPr>
        <w:t xml:space="preserve">概况</w:t>
      </w:r>
      <w:r/>
    </w:p>
    <w:p>
      <w:pPr>
        <w:ind w:firstLine="480"/>
        <w:spacing w:line="440" w:lineRule="exact"/>
        <w:rPr>
          <w:b/>
          <w:color w:val="auto"/>
          <w:sz w:val="24"/>
          <w:szCs w:val="32"/>
          <w:highlight w:val="none"/>
        </w:rPr>
      </w:pPr>
      <w:r>
        <w:rPr>
          <w:rFonts w:hint="eastAsia"/>
          <w:color w:val="auto"/>
          <w:sz w:val="24"/>
          <w:szCs w:val="32"/>
          <w:highlight w:val="none"/>
          <w:lang w:val="en-US"/>
        </w:rPr>
        <w:t xml:space="preserve">1、项目名称：江苏开放大学环境生态学院实验室仪器设备采购</w:t>
      </w:r>
      <w:r/>
    </w:p>
    <w:p>
      <w:pPr>
        <w:ind w:firstLine="480"/>
        <w:spacing w:line="440" w:lineRule="exact"/>
        <w:rPr>
          <w:color w:val="auto"/>
          <w:sz w:val="24"/>
          <w:szCs w:val="32"/>
          <w:highlight w:val="none"/>
          <w:lang w:val="en-US"/>
        </w:rPr>
      </w:pPr>
      <w:r>
        <w:rPr>
          <w:rFonts w:hint="eastAsia"/>
          <w:color w:val="auto"/>
          <w:sz w:val="24"/>
          <w:szCs w:val="32"/>
          <w:highlight w:val="none"/>
          <w:lang w:val="en-US"/>
        </w:rPr>
        <w:t xml:space="preserve">2、项目背景：江苏开放大学环境生态学院需对浦口校区新建13间实训实验室教室仪器设备采购，其中8间实训室对整体教学环境进行智慧化建设，5间仪器设备耗材室的设备采购，本次项目需配合实验室装修共同完成，满足环境生态学院三个系部正常实验教学。</w:t>
      </w:r>
      <w:r/>
    </w:p>
    <w:p>
      <w:pPr>
        <w:ind w:firstLine="480"/>
        <w:spacing w:line="440" w:lineRule="exact"/>
        <w:rPr>
          <w:color w:val="auto"/>
          <w:sz w:val="24"/>
          <w:szCs w:val="32"/>
          <w:highlight w:val="none"/>
          <w:lang w:val="en-US"/>
        </w:rPr>
      </w:pPr>
      <w:r>
        <w:rPr>
          <w:rFonts w:hint="eastAsia"/>
          <w:color w:val="auto"/>
          <w:sz w:val="24"/>
          <w:szCs w:val="32"/>
          <w:highlight w:val="none"/>
          <w:lang w:val="en-US"/>
        </w:rPr>
        <w:t xml:space="preserve">3、项目预算：277万元。</w:t>
      </w:r>
      <w:r/>
    </w:p>
    <w:p>
      <w:pPr>
        <w:ind w:firstLine="480"/>
        <w:spacing w:line="440" w:lineRule="exact"/>
        <w:rPr>
          <w:color w:val="auto"/>
          <w:sz w:val="24"/>
          <w:szCs w:val="32"/>
          <w:highlight w:val="none"/>
          <w:lang w:val="en-US"/>
        </w:rPr>
      </w:pPr>
      <w:r>
        <w:rPr>
          <w:rFonts w:hint="eastAsia"/>
          <w:color w:val="auto"/>
          <w:sz w:val="24"/>
          <w:szCs w:val="32"/>
          <w:highlight w:val="none"/>
          <w:lang w:val="en-US"/>
        </w:rPr>
        <w:t xml:space="preserve">4、采购期限：本项目交付时间自合同签订之日起45个工作日内完成交付、安装调试并验收合格。</w:t>
      </w:r>
      <w:r/>
    </w:p>
    <w:p>
      <w:pPr>
        <w:ind w:firstLine="480"/>
        <w:spacing w:line="440" w:lineRule="exact"/>
        <w:rPr>
          <w:color w:val="auto"/>
          <w:sz w:val="24"/>
          <w:szCs w:val="32"/>
          <w:highlight w:val="none"/>
          <w:lang w:val="en-US"/>
        </w:rPr>
      </w:pPr>
      <w:r>
        <w:rPr>
          <w:rFonts w:hint="eastAsia"/>
          <w:color w:val="auto"/>
          <w:sz w:val="24"/>
          <w:szCs w:val="32"/>
          <w:highlight w:val="none"/>
          <w:lang w:val="en-US"/>
        </w:rPr>
        <w:t xml:space="preserve">5、交货地点：采购人指定地点。</w:t>
      </w:r>
      <w:r/>
    </w:p>
    <w:p>
      <w:pPr>
        <w:pStyle w:val="1114"/>
        <w:ind w:firstLine="0"/>
        <w:spacing w:line="440" w:lineRule="exact"/>
        <w:rPr>
          <w:rFonts w:cs="Times New Roman"/>
          <w:b/>
          <w:color w:val="auto"/>
          <w:sz w:val="24"/>
          <w:szCs w:val="32"/>
          <w:highlight w:val="none"/>
          <w:lang w:val="en-US" w:bidi="ar-SA"/>
        </w:rPr>
      </w:pPr>
      <w:r>
        <w:rPr>
          <w:rFonts w:hint="eastAsia" w:cs="Times New Roman"/>
          <w:b/>
          <w:color w:val="auto"/>
          <w:sz w:val="24"/>
          <w:szCs w:val="32"/>
          <w:highlight w:val="none"/>
          <w:lang w:val="en-US" w:bidi="ar-SA"/>
        </w:rPr>
        <w:t xml:space="preserve">二</w:t>
      </w:r>
      <w:r>
        <w:rPr>
          <w:rFonts w:hint="eastAsia" w:ascii="Times New Roman" w:hAnsi="Times New Roman" w:cs="Times New Roman"/>
          <w:b/>
          <w:color w:val="auto"/>
          <w:sz w:val="24"/>
          <w:szCs w:val="32"/>
          <w:highlight w:val="none"/>
          <w:lang w:val="en-US" w:bidi="ar-SA"/>
        </w:rPr>
        <w:t xml:space="preserve">、</w:t>
      </w:r>
      <w:r>
        <w:rPr>
          <w:rFonts w:hint="eastAsia" w:cs="Times New Roman"/>
          <w:b/>
          <w:color w:val="auto"/>
          <w:sz w:val="24"/>
          <w:szCs w:val="32"/>
          <w:highlight w:val="none"/>
          <w:lang w:val="en-US" w:bidi="ar-SA"/>
        </w:rPr>
        <w:t xml:space="preserve">采购清单及技术指标</w:t>
      </w:r>
      <w:r/>
    </w:p>
    <w:p>
      <w:pPr>
        <w:rPr>
          <w:rFonts w:ascii="Times New Roman" w:hAnsi="Times New Roman"/>
          <w:color w:val="auto"/>
          <w:highlight w:val="none"/>
          <w:lang w:val="en-US" w:bidi="ar"/>
        </w:rPr>
      </w:pPr>
      <w:r>
        <w:rPr>
          <w:rFonts w:hint="eastAsia" w:ascii="Times New Roman" w:hAnsi="Times New Roman"/>
          <w:color w:val="auto"/>
          <w:sz w:val="24"/>
          <w:szCs w:val="24"/>
          <w:highlight w:val="none"/>
          <w:lang w:val="en-US" w:bidi="ar"/>
        </w:rPr>
        <w:t xml:space="preserve">（一）</w:t>
      </w:r>
      <w:r>
        <w:rPr>
          <w:rFonts w:hint="eastAsia" w:ascii="Times New Roman" w:hAnsi="Times New Roman"/>
          <w:color w:val="auto"/>
          <w:highlight w:val="none"/>
          <w:lang w:val="en-US" w:bidi="ar"/>
        </w:rPr>
        <w:t xml:space="preserve">采购清单</w:t>
      </w:r>
      <w:r/>
    </w:p>
    <w:p>
      <w:pPr>
        <w:ind w:firstLine="440"/>
        <w:jc w:val="both"/>
        <w:spacing w:line="360" w:lineRule="auto"/>
        <w:rPr>
          <w:rFonts w:ascii="Times New Roman" w:hAnsi="Times New Roman"/>
          <w:color w:val="auto"/>
          <w:highlight w:val="none"/>
          <w:lang w:bidi="ar"/>
        </w:rPr>
      </w:pPr>
      <w:r>
        <w:rPr>
          <w:rFonts w:ascii="Times New Roman" w:hAnsi="Times New Roman"/>
          <w:color w:val="auto"/>
          <w:highlight w:val="none"/>
          <w:lang w:bidi="ar"/>
        </w:rPr>
        <w:t xml:space="preserve">1、</w:t>
      </w:r>
      <w:r>
        <w:rPr>
          <w:rFonts w:hint="eastAsia" w:ascii="Times New Roman" w:hAnsi="Times New Roman"/>
          <w:color w:val="auto"/>
          <w:highlight w:val="none"/>
          <w:lang w:bidi="ar"/>
        </w:rPr>
        <w:t xml:space="preserve">化学实训室：</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8"/>
        <w:gridCol w:w="4565"/>
        <w:gridCol w:w="1092"/>
        <w:gridCol w:w="1068"/>
      </w:tblGrid>
      <w:tr>
        <w:trPr>
          <w:trHeight w:val="499"/>
        </w:trPr>
        <w:tc>
          <w:tcPr>
            <w:shd w:val="clear" w:color="auto" w:fill="auto"/>
            <w:tcBorders>
              <w:top w:val="single" w:color="auto" w:sz="4" w:space="0"/>
              <w:left w:val="single" w:color="000000" w:sz="4" w:space="0"/>
              <w:bottom w:val="single" w:color="000000" w:sz="4" w:space="0"/>
              <w:right w:val="single" w:color="000000" w:sz="4" w:space="0"/>
            </w:tcBorders>
            <w:tcW w:w="1388" w:type="dxa"/>
            <w:vAlign w:val="center"/>
            <w:textDirection w:val="lrTb"/>
            <w:noWrap w:val="false"/>
          </w:tcPr>
          <w:p>
            <w:pPr>
              <w:ind w:firstLine="482"/>
              <w:jc w:val="center"/>
              <w:widowControl/>
              <w:rPr>
                <w:b/>
                <w:bCs/>
                <w:color w:val="auto"/>
                <w:highlight w:val="none"/>
              </w:rPr>
            </w:pPr>
            <w:r>
              <w:rPr>
                <w:rFonts w:hint="eastAsia"/>
                <w:b/>
                <w:bCs/>
                <w:color w:val="auto"/>
                <w:highlight w:val="none"/>
                <w:lang w:bidi="ar"/>
              </w:rPr>
              <w:t xml:space="preserve">序号</w:t>
            </w:r>
            <w:r/>
          </w:p>
        </w:tc>
        <w:tc>
          <w:tcPr>
            <w:shd w:val="clear" w:color="auto" w:fill="auto"/>
            <w:tcBorders>
              <w:top w:val="single" w:color="auto" w:sz="4" w:space="0"/>
              <w:left w:val="single" w:color="000000" w:sz="4" w:space="0"/>
              <w:bottom w:val="single" w:color="000000" w:sz="4" w:space="0"/>
              <w:right w:val="single" w:color="000000" w:sz="4" w:space="0"/>
            </w:tcBorders>
            <w:tcW w:w="4565" w:type="dxa"/>
            <w:vAlign w:val="center"/>
            <w:textDirection w:val="lrTb"/>
            <w:noWrap w:val="false"/>
          </w:tcPr>
          <w:p>
            <w:pPr>
              <w:ind w:firstLine="482"/>
              <w:jc w:val="center"/>
              <w:widowControl/>
              <w:rPr>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auto" w:sz="4" w:space="0"/>
              <w:left w:val="single" w:color="000000" w:sz="4" w:space="0"/>
              <w:bottom w:val="single" w:color="000000" w:sz="4" w:space="0"/>
              <w:right w:val="single" w:color="000000" w:sz="4" w:space="0"/>
            </w:tcBorders>
            <w:tcW w:w="1092" w:type="dxa"/>
            <w:vAlign w:val="center"/>
            <w:textDirection w:val="lrTb"/>
            <w:noWrap w:val="false"/>
          </w:tcPr>
          <w:p>
            <w:pPr>
              <w:jc w:val="center"/>
              <w:widowControl/>
              <w:rPr>
                <w:b/>
                <w:bCs/>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auto"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jc w:val="center"/>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jc w:val="center"/>
              <w:widowControl/>
              <w:rPr>
                <w:color w:val="auto"/>
                <w:highlight w:val="none"/>
              </w:rPr>
            </w:pPr>
            <w:r>
              <w:rPr>
                <w:rFonts w:hint="eastAsia"/>
                <w:color w:val="auto"/>
                <w:highlight w:val="none"/>
              </w:rPr>
              <w:t xml:space="preserve">智慧教学设备1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套</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jc w:val="center"/>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jc w:val="center"/>
              <w:widowControl/>
              <w:rPr>
                <w:color w:val="auto"/>
                <w:highlight w:val="none"/>
              </w:rPr>
            </w:pPr>
            <w:r>
              <w:rPr>
                <w:rFonts w:hint="eastAsia"/>
                <w:color w:val="auto"/>
                <w:highlight w:val="none"/>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jc w:val="center"/>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ind w:firstLine="480"/>
              <w:jc w:val="center"/>
              <w:widowControl/>
              <w:rPr>
                <w:color w:val="auto"/>
                <w:highlight w:val="none"/>
              </w:rPr>
            </w:pPr>
            <w:r>
              <w:rPr>
                <w:rFonts w:hint="eastAsia"/>
                <w:color w:val="auto"/>
                <w:highlight w:val="none"/>
              </w:rPr>
              <w:t xml:space="preserve">万分之一天平</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jc w:val="center"/>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ind w:firstLine="480"/>
              <w:jc w:val="center"/>
              <w:widowControl/>
              <w:rPr>
                <w:color w:val="auto"/>
                <w:highlight w:val="none"/>
              </w:rPr>
            </w:pPr>
            <w:r>
              <w:rPr>
                <w:rFonts w:hint="eastAsia"/>
                <w:color w:val="auto"/>
                <w:highlight w:val="none"/>
              </w:rPr>
              <w:t xml:space="preserve">纯水仪</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jc w:val="center"/>
              <w:widowControl/>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ind w:firstLine="480"/>
              <w:jc w:val="center"/>
              <w:widowControl/>
              <w:rPr>
                <w:color w:val="auto"/>
                <w:highlight w:val="none"/>
              </w:rPr>
            </w:pPr>
            <w:r>
              <w:rPr>
                <w:rFonts w:hint="eastAsia"/>
                <w:color w:val="auto"/>
                <w:highlight w:val="none"/>
              </w:rPr>
              <w:t xml:space="preserve">制冰机</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jc w:val="center"/>
              <w:widowControl/>
              <w:rPr>
                <w:color w:val="auto"/>
                <w:highlight w:val="none"/>
              </w:rPr>
            </w:pPr>
            <w:r>
              <w:rPr>
                <w:rFonts w:hint="eastAsia"/>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ind w:firstLine="480"/>
              <w:jc w:val="center"/>
              <w:widowControl/>
              <w:rPr>
                <w:color w:val="auto"/>
                <w:highlight w:val="none"/>
              </w:rPr>
            </w:pPr>
            <w:r>
              <w:rPr>
                <w:rFonts w:hint="eastAsia"/>
                <w:color w:val="auto"/>
                <w:highlight w:val="none"/>
              </w:rPr>
              <w:t xml:space="preserve">加热套</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jc w:val="center"/>
              <w:widowControl/>
              <w:rPr>
                <w:color w:val="auto"/>
                <w:highlight w:val="none"/>
              </w:rPr>
            </w:pPr>
            <w:r>
              <w:rPr>
                <w:rFonts w:hint="eastAsia"/>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ind w:firstLine="480"/>
              <w:jc w:val="center"/>
              <w:widowControl/>
              <w:rPr>
                <w:color w:val="auto"/>
                <w:highlight w:val="none"/>
              </w:rPr>
            </w:pPr>
            <w:r>
              <w:rPr>
                <w:rFonts w:hint="eastAsia"/>
                <w:color w:val="auto"/>
                <w:highlight w:val="none"/>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jc w:val="center"/>
              <w:widowControl/>
              <w:rPr>
                <w:color w:val="auto"/>
                <w:highlight w:val="none"/>
              </w:rPr>
            </w:pPr>
            <w:r>
              <w:rPr>
                <w:rFonts w:hint="eastAsia"/>
                <w:color w:val="auto"/>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ind w:firstLine="480"/>
              <w:jc w:val="center"/>
              <w:widowControl/>
              <w:rPr>
                <w:color w:val="auto"/>
                <w:highlight w:val="none"/>
              </w:rPr>
            </w:pPr>
            <w:r>
              <w:rPr>
                <w:rFonts w:hint="eastAsia"/>
                <w:color w:val="auto"/>
                <w:highlight w:val="none"/>
              </w:rPr>
              <w:t xml:space="preserve">循环水真空泵</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jc w:val="center"/>
              <w:widowControl/>
              <w:rPr>
                <w:color w:val="auto"/>
                <w:highlight w:val="none"/>
              </w:rPr>
            </w:pPr>
            <w:r>
              <w:rPr>
                <w:rFonts w:hint="eastAsia"/>
                <w:color w:val="auto"/>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ind w:firstLine="480"/>
              <w:jc w:val="center"/>
              <w:widowControl/>
              <w:rPr>
                <w:color w:val="auto"/>
                <w:highlight w:val="none"/>
              </w:rPr>
            </w:pPr>
            <w:r>
              <w:rPr>
                <w:rFonts w:hint="eastAsia"/>
                <w:color w:val="auto"/>
                <w:highlight w:val="none"/>
              </w:rPr>
              <w:t xml:space="preserve">阿贝折射仪</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jc w:val="center"/>
              <w:widowControl/>
              <w:rPr>
                <w:color w:val="auto"/>
                <w:highlight w:val="none"/>
              </w:rPr>
            </w:pPr>
            <w:r>
              <w:rPr>
                <w:rFonts w:hint="eastAsia"/>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ind w:firstLine="480"/>
              <w:jc w:val="center"/>
              <w:widowControl/>
              <w:rPr>
                <w:color w:val="auto"/>
                <w:highlight w:val="none"/>
              </w:rPr>
            </w:pPr>
            <w:r>
              <w:rPr>
                <w:rFonts w:hint="eastAsia"/>
                <w:color w:val="auto"/>
                <w:highlight w:val="none"/>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jc w:val="center"/>
              <w:widowControl/>
              <w:rPr>
                <w:color w:val="auto"/>
                <w:highlight w:val="none"/>
              </w:rPr>
            </w:pPr>
            <w:r>
              <w:rPr>
                <w:rFonts w:hint="eastAsia"/>
                <w:color w:val="auto"/>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ind w:firstLine="480"/>
              <w:jc w:val="center"/>
              <w:widowControl/>
              <w:rPr>
                <w:color w:val="auto"/>
                <w:highlight w:val="none"/>
              </w:rPr>
            </w:pPr>
            <w:r>
              <w:rPr>
                <w:rFonts w:hint="eastAsia"/>
                <w:color w:val="auto"/>
                <w:highlight w:val="none"/>
              </w:rPr>
              <w:t xml:space="preserve">台秤</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jc w:val="center"/>
              <w:widowControl/>
              <w:rPr>
                <w:color w:val="auto"/>
                <w:highlight w:val="none"/>
              </w:rPr>
            </w:pPr>
            <w:r>
              <w:rPr>
                <w:rFonts w:hint="eastAsia"/>
                <w:color w:val="auto"/>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ind w:firstLine="480"/>
              <w:jc w:val="center"/>
              <w:widowControl/>
              <w:rPr>
                <w:color w:val="auto"/>
                <w:highlight w:val="none"/>
              </w:rPr>
            </w:pPr>
            <w:r>
              <w:rPr>
                <w:rFonts w:hint="eastAsia"/>
                <w:color w:val="auto"/>
                <w:highlight w:val="none"/>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jc w:val="center"/>
              <w:widowControl/>
              <w:rPr>
                <w:color w:val="auto"/>
                <w:highlight w:val="none"/>
              </w:rPr>
            </w:pPr>
            <w:r>
              <w:rPr>
                <w:rFonts w:hint="eastAsia"/>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65" w:type="dxa"/>
            <w:vAlign w:val="center"/>
            <w:textDirection w:val="lrTb"/>
            <w:noWrap w:val="false"/>
          </w:tcPr>
          <w:p>
            <w:pPr>
              <w:ind w:firstLine="480"/>
              <w:jc w:val="center"/>
              <w:widowControl/>
              <w:rPr>
                <w:color w:val="auto"/>
                <w:highlight w:val="none"/>
              </w:rPr>
            </w:pPr>
            <w:r>
              <w:rPr>
                <w:rFonts w:hint="eastAsia"/>
                <w:color w:val="auto"/>
                <w:highlight w:val="none"/>
              </w:rPr>
              <w:t xml:space="preserve">  紫外可见分光光度计</w:t>
            </w:r>
            <w:bookmarkStart w:id="23" w:name="OLE_LINK15"/>
            <w:r/>
            <w:bookmarkStart w:id="24" w:name="OLE_LINK22"/>
            <w:r>
              <w:rPr>
                <w:rFonts w:hint="eastAsia"/>
                <w:b/>
                <w:color w:val="auto"/>
                <w:highlight w:val="none"/>
              </w:rPr>
              <w:t xml:space="preserve">（</w:t>
            </w:r>
            <w:r>
              <w:rPr>
                <w:rFonts w:hint="eastAsia"/>
                <w:b/>
                <w:color w:val="auto"/>
                <w:highlight w:val="none"/>
                <w:lang w:val="en-US"/>
              </w:rPr>
              <w:t xml:space="preserve">核心产品</w:t>
            </w:r>
            <w:r>
              <w:rPr>
                <w:rFonts w:hint="eastAsia"/>
                <w:b/>
                <w:color w:val="auto"/>
                <w:highlight w:val="none"/>
              </w:rPr>
              <w:t xml:space="preserve">）</w:t>
            </w:r>
            <w:bookmarkEnd w:id="23"/>
            <w:r/>
            <w:bookmarkEnd w:id="24"/>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val="false"/>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jc w:val="center"/>
              <w:widowControl/>
              <w:rPr>
                <w:color w:val="auto"/>
                <w:highlight w:val="none"/>
              </w:rPr>
            </w:pPr>
            <w:r>
              <w:rPr>
                <w:rFonts w:hint="eastAsia"/>
                <w:color w:val="auto"/>
                <w:highlight w:val="none"/>
              </w:rPr>
              <w:t xml:space="preserve">台</w:t>
            </w:r>
            <w:r/>
          </w:p>
        </w:tc>
      </w:tr>
    </w:tbl>
    <w:p>
      <w:pPr>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2、</w:t>
      </w:r>
      <w:r>
        <w:rPr>
          <w:rFonts w:hint="eastAsia"/>
          <w:color w:val="auto"/>
          <w:highlight w:val="none"/>
        </w:rPr>
        <w:t xml:space="preserve">环境监测实训室：</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76"/>
        <w:gridCol w:w="4589"/>
        <w:gridCol w:w="1080"/>
        <w:gridCol w:w="1092"/>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tcPr>
          <w:p>
            <w:pPr>
              <w:ind w:firstLine="480"/>
              <w:jc w:val="center"/>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480"/>
              <w:jc w:val="center"/>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rPr>
                <w:color w:val="auto"/>
                <w:highlight w:val="none"/>
              </w:rPr>
            </w:pPr>
            <w:r>
              <w:rPr>
                <w:rFonts w:hint="eastAsia"/>
                <w:color w:val="auto"/>
                <w:highlight w:val="none"/>
              </w:rPr>
              <w:t xml:space="preserve">微波消解仪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bottom"/>
            <w:textDirection w:val="lrTb"/>
            <w:noWrap/>
          </w:tcPr>
          <w:p>
            <w:pPr>
              <w:ind w:firstLine="480"/>
              <w:jc w:val="center"/>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rPr>
                <w:color w:val="auto"/>
                <w:highlight w:val="none"/>
              </w:rPr>
            </w:pPr>
            <w:r>
              <w:rPr>
                <w:rFonts w:hint="eastAsia"/>
                <w:color w:val="auto"/>
                <w:highlight w:val="none"/>
              </w:rPr>
              <w:t xml:space="preserve">水质采样器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480"/>
              <w:jc w:val="center"/>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rPr>
                <w:color w:val="auto"/>
                <w:highlight w:val="none"/>
              </w:rPr>
            </w:pPr>
            <w:r/>
            <w:bookmarkStart w:id="25" w:name="OLE_LINK64"/>
            <w:r>
              <w:rPr>
                <w:rFonts w:hint="eastAsia"/>
                <w:color w:val="auto"/>
                <w:highlight w:val="none"/>
              </w:rPr>
              <w:t xml:space="preserve">万分之一天平</w:t>
            </w:r>
            <w:bookmarkEnd w:id="25"/>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bottom"/>
            <w:textDirection w:val="lrTb"/>
            <w:noWrap/>
          </w:tcPr>
          <w:p>
            <w:pPr>
              <w:ind w:firstLine="480"/>
              <w:jc w:val="center"/>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rPr>
                <w:color w:val="auto"/>
                <w:highlight w:val="none"/>
              </w:rPr>
            </w:pPr>
            <w:r>
              <w:rPr>
                <w:rFonts w:hint="eastAsia"/>
                <w:color w:val="auto"/>
                <w:highlight w:val="none"/>
              </w:rPr>
              <w:t xml:space="preserve">  智慧教学设备1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color w:val="auto"/>
                <w:highlight w:val="none"/>
              </w:rPr>
            </w:pPr>
            <w:r>
              <w:rPr>
                <w:rFonts w:hint="eastAsia"/>
                <w:color w:val="auto"/>
                <w:highlight w:val="none"/>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480"/>
              <w:jc w:val="center"/>
              <w:widowControl/>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rPr>
                <w:color w:val="auto"/>
                <w:highlight w:val="none"/>
              </w:rPr>
            </w:pPr>
            <w:r>
              <w:rPr>
                <w:rFonts w:hint="eastAsia"/>
                <w:color w:val="auto"/>
                <w:highlight w:val="none"/>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bottom"/>
            <w:textDirection w:val="lrTb"/>
            <w:noWrap/>
          </w:tcPr>
          <w:p>
            <w:pPr>
              <w:ind w:firstLine="480"/>
              <w:jc w:val="center"/>
              <w:widowControl/>
              <w:rPr>
                <w:color w:val="auto"/>
                <w:highlight w:val="none"/>
              </w:rPr>
            </w:pPr>
            <w:r>
              <w:rPr>
                <w:rFonts w:hint="eastAsia"/>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rPr>
                <w:color w:val="auto"/>
                <w:highlight w:val="none"/>
              </w:rPr>
            </w:pPr>
            <w:r>
              <w:rPr>
                <w:rFonts w:hint="eastAsia"/>
                <w:color w:val="auto"/>
                <w:highlight w:val="none"/>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480"/>
              <w:jc w:val="center"/>
              <w:widowControl/>
              <w:rPr>
                <w:color w:val="auto"/>
                <w:highlight w:val="none"/>
              </w:rPr>
            </w:pPr>
            <w:r>
              <w:rPr>
                <w:rFonts w:hint="eastAsia"/>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rPr>
                <w:color w:val="auto"/>
                <w:highlight w:val="none"/>
              </w:rPr>
            </w:pPr>
            <w:r>
              <w:rPr>
                <w:rFonts w:hint="eastAsia"/>
                <w:color w:val="auto"/>
                <w:highlight w:val="none"/>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bottom"/>
            <w:textDirection w:val="lrTb"/>
            <w:noWrap/>
          </w:tcPr>
          <w:p>
            <w:pPr>
              <w:ind w:firstLine="480"/>
              <w:jc w:val="center"/>
              <w:widowControl/>
              <w:rPr>
                <w:color w:val="auto"/>
                <w:highlight w:val="none"/>
              </w:rPr>
            </w:pPr>
            <w:r>
              <w:rPr>
                <w:rFonts w:hint="eastAsia"/>
                <w:color w:val="auto"/>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rPr>
                <w:color w:val="auto"/>
                <w:highlight w:val="none"/>
              </w:rPr>
            </w:pPr>
            <w:r>
              <w:rPr>
                <w:rFonts w:hint="eastAsia"/>
                <w:color w:val="auto"/>
                <w:highlight w:val="none"/>
              </w:rPr>
              <w:t xml:space="preserve">纯水仪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76" w:type="dxa"/>
            <w:vAlign w:val="center"/>
            <w:textDirection w:val="lrTb"/>
            <w:noWrap w:val="false"/>
          </w:tcPr>
          <w:p>
            <w:pPr>
              <w:ind w:firstLine="480"/>
              <w:jc w:val="center"/>
              <w:widowControl/>
              <w:rPr>
                <w:color w:val="auto"/>
                <w:highlight w:val="none"/>
              </w:rPr>
            </w:pPr>
            <w:r>
              <w:rPr>
                <w:rFonts w:hint="eastAsia"/>
                <w:color w:val="auto"/>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rPr>
                <w:color w:val="auto"/>
                <w:highlight w:val="none"/>
              </w:rPr>
            </w:pPr>
            <w:r>
              <w:rPr>
                <w:rFonts w:hint="eastAsia"/>
                <w:color w:val="auto"/>
                <w:highlight w:val="none"/>
              </w:rPr>
              <w:t xml:space="preserve">紫外可见分光光度计</w:t>
            </w:r>
            <w:r>
              <w:rPr>
                <w:rFonts w:hint="eastAsia"/>
                <w:b/>
                <w:color w:val="auto"/>
                <w:highlight w:val="none"/>
              </w:rPr>
              <w:t xml:space="preserve">（</w:t>
            </w:r>
            <w:r>
              <w:rPr>
                <w:rFonts w:hint="eastAsia"/>
                <w:b/>
                <w:color w:val="auto"/>
                <w:highlight w:val="none"/>
                <w:lang w:val="en-US"/>
              </w:rPr>
              <w:t xml:space="preserve">核心产品</w:t>
            </w:r>
            <w:r>
              <w:rPr>
                <w:rFonts w:hint="eastAsia"/>
                <w:b/>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color w:val="auto"/>
                <w:highlight w:val="none"/>
              </w:rPr>
            </w:pPr>
            <w:r>
              <w:rPr>
                <w:rFonts w:hint="eastAsia"/>
                <w:color w:val="auto"/>
                <w:highlight w:val="none"/>
              </w:rPr>
              <w:t xml:space="preserve">台</w:t>
            </w:r>
            <w:r/>
          </w:p>
        </w:tc>
      </w:tr>
    </w:tbl>
    <w:p>
      <w:pPr>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3、仪器分析实训室</w:t>
      </w:r>
      <w:r>
        <w:rPr>
          <w:rFonts w:hint="eastAsia"/>
          <w:color w:val="auto"/>
          <w:highlight w:val="none"/>
        </w:rPr>
        <w:t xml:space="preserve">：</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8"/>
        <w:gridCol w:w="4601"/>
        <w:gridCol w:w="1044"/>
        <w:gridCol w:w="1116"/>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firstLine="480"/>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firstLine="480"/>
              <w:jc w:val="center"/>
              <w:widowControl/>
              <w:rPr>
                <w:color w:val="auto"/>
                <w:highlight w:val="none"/>
              </w:rPr>
            </w:pPr>
            <w:r>
              <w:rPr>
                <w:rFonts w:hint="eastAsia"/>
                <w:color w:val="auto"/>
                <w:highlight w:val="none"/>
              </w:rPr>
              <w:t xml:space="preserve">紫外可见分光光度计</w:t>
            </w:r>
            <w:r>
              <w:rPr>
                <w:rFonts w:hint="eastAsia"/>
                <w:b/>
                <w:color w:val="auto"/>
                <w:highlight w:val="none"/>
              </w:rPr>
              <w:t xml:space="preserve">（</w:t>
            </w:r>
            <w:r>
              <w:rPr>
                <w:rFonts w:hint="eastAsia"/>
                <w:b/>
                <w:color w:val="auto"/>
                <w:highlight w:val="none"/>
                <w:lang w:val="en-US"/>
              </w:rPr>
              <w:t xml:space="preserve">核心产品</w:t>
            </w:r>
            <w:r>
              <w:rPr>
                <w:rFonts w:hint="eastAsia"/>
                <w:b/>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ind w:firstLine="480"/>
              <w:widowControl/>
              <w:rPr>
                <w:color w:val="auto"/>
                <w:highlight w:val="none"/>
              </w:rPr>
            </w:pPr>
            <w:r>
              <w:rPr>
                <w:rFonts w:hint="eastAsia"/>
                <w:color w:val="auto"/>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firstLine="480"/>
              <w:jc w:val="center"/>
              <w:widowControl/>
              <w:rPr>
                <w:color w:val="auto"/>
                <w:highlight w:val="none"/>
              </w:rPr>
            </w:pPr>
            <w:r>
              <w:rPr>
                <w:rFonts w:hint="eastAsia"/>
                <w:color w:val="auto"/>
                <w:highlight w:val="none"/>
              </w:rPr>
              <w:t xml:space="preserve">万分之一天平</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firstLine="480"/>
              <w:jc w:val="center"/>
              <w:widowControl/>
              <w:rPr>
                <w:color w:val="auto"/>
                <w:highlight w:val="none"/>
              </w:rPr>
            </w:pPr>
            <w:r>
              <w:rPr>
                <w:rFonts w:hint="eastAsia"/>
                <w:color w:val="auto"/>
                <w:highlight w:val="none"/>
              </w:rPr>
              <w:t xml:space="preserve">电位滴定仪</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firstLine="480"/>
              <w:jc w:val="center"/>
              <w:widowControl/>
              <w:rPr>
                <w:color w:val="auto"/>
                <w:highlight w:val="none"/>
              </w:rPr>
            </w:pPr>
            <w:r>
              <w:rPr>
                <w:rFonts w:hint="eastAsia"/>
                <w:color w:val="auto"/>
                <w:highlight w:val="none"/>
              </w:rPr>
              <w:t xml:space="preserve">pH计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ind w:firstLine="480"/>
              <w:widowControl/>
              <w:rPr>
                <w:color w:val="auto"/>
                <w:highlight w:val="none"/>
              </w:rPr>
            </w:pPr>
            <w:r>
              <w:rPr>
                <w:rFonts w:hint="eastAsia"/>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firstLine="480"/>
              <w:jc w:val="center"/>
              <w:widowControl/>
              <w:rPr>
                <w:color w:val="auto"/>
                <w:highlight w:val="none"/>
              </w:rPr>
            </w:pPr>
            <w:r>
              <w:rPr>
                <w:rFonts w:hint="eastAsia"/>
                <w:color w:val="auto"/>
                <w:highlight w:val="none"/>
              </w:rPr>
              <w:t xml:space="preserve">COD分析仪</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firstLine="480"/>
              <w:jc w:val="center"/>
              <w:widowControl/>
              <w:rPr>
                <w:color w:val="auto"/>
                <w:highlight w:val="none"/>
              </w:rPr>
            </w:pPr>
            <w:r>
              <w:rPr>
                <w:rFonts w:hint="eastAsia"/>
                <w:color w:val="auto"/>
                <w:highlight w:val="none"/>
              </w:rPr>
              <w:t xml:space="preserve">总磷总氮氨氮分析仪</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firstLine="480"/>
              <w:jc w:val="center"/>
              <w:widowControl/>
              <w:rPr>
                <w:color w:val="auto"/>
                <w:highlight w:val="none"/>
              </w:rPr>
            </w:pPr>
            <w:r>
              <w:rPr>
                <w:rFonts w:hint="eastAsia"/>
                <w:color w:val="auto"/>
                <w:highlight w:val="none"/>
              </w:rPr>
              <w:t xml:space="preserve">多参数分析仪</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color w:val="auto"/>
                <w:highlight w:val="none"/>
              </w:rPr>
              <w:t xml:space="preserve">台</w:t>
            </w:r>
            <w:r/>
          </w:p>
        </w:tc>
      </w:tr>
    </w:tbl>
    <w:p>
      <w:pPr>
        <w:pStyle w:val="860"/>
        <w:rPr>
          <w:b w:val="0"/>
          <w:bCs w:val="0"/>
          <w:color w:val="auto"/>
          <w:sz w:val="22"/>
          <w:szCs w:val="22"/>
          <w:highlight w:val="none"/>
        </w:rPr>
      </w:pPr>
      <w:r>
        <w:rPr>
          <w:b w:val="0"/>
          <w:bCs w:val="0"/>
          <w:color w:val="auto"/>
          <w:sz w:val="22"/>
          <w:szCs w:val="22"/>
          <w:highlight w:val="none"/>
        </w:rPr>
      </w:r>
      <w:r/>
    </w:p>
    <w:p>
      <w:pPr>
        <w:ind w:firstLine="480"/>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4、固废实训室</w:t>
      </w:r>
      <w:r>
        <w:rPr>
          <w:rFonts w:hint="eastAsia"/>
          <w:color w:val="auto"/>
          <w:highlight w:val="none"/>
        </w:rPr>
        <w:t xml:space="preserve">：</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8"/>
        <w:gridCol w:w="4589"/>
        <w:gridCol w:w="1044"/>
        <w:gridCol w:w="1128"/>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智慧教学设备3</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color w:val="auto"/>
                <w:highlight w:val="none"/>
              </w:rPr>
            </w:pPr>
            <w:r>
              <w:rPr>
                <w:rFonts w:hint="eastAsia"/>
                <w:color w:val="auto"/>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tcPr>
          <w:p>
            <w:pPr>
              <w:jc w:val="center"/>
              <w:widowControl/>
              <w:rPr>
                <w:color w:val="auto"/>
                <w:highlight w:val="none"/>
              </w:rPr>
            </w:pPr>
            <w:r>
              <w:rPr>
                <w:rFonts w:hint="eastAsia"/>
                <w:color w:val="auto"/>
                <w:highlight w:val="none"/>
              </w:rPr>
              <w:t xml:space="preserve">六连搅拌器</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恒温摇床</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widowControl/>
              <w:rPr>
                <w:color w:val="auto"/>
                <w:highlight w:val="none"/>
              </w:rPr>
            </w:pPr>
            <w:r>
              <w:rPr>
                <w:rFonts w:hint="eastAsia"/>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tcPr>
          <w:p>
            <w:pPr>
              <w:jc w:val="center"/>
              <w:widowControl/>
              <w:rPr>
                <w:color w:val="auto"/>
                <w:highlight w:val="none"/>
              </w:rPr>
            </w:pPr>
            <w:r>
              <w:rPr>
                <w:rFonts w:hint="eastAsia"/>
                <w:color w:val="auto"/>
                <w:highlight w:val="none"/>
              </w:rPr>
              <w:t xml:space="preserve">浊度计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tcPr>
          <w:p>
            <w:pPr>
              <w:jc w:val="center"/>
              <w:widowControl/>
              <w:rPr>
                <w:color w:val="auto"/>
                <w:highlight w:val="none"/>
              </w:rPr>
            </w:pPr>
            <w:r>
              <w:rPr>
                <w:rFonts w:hint="eastAsia"/>
                <w:color w:val="auto"/>
                <w:highlight w:val="none"/>
              </w:rPr>
              <w:t xml:space="preserve">颗粒自由沉降装置</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widowControl/>
              <w:rPr>
                <w:color w:val="auto"/>
                <w:highlight w:val="none"/>
              </w:rPr>
            </w:pPr>
            <w:r>
              <w:rPr>
                <w:rFonts w:hint="eastAsia"/>
                <w:color w:val="auto"/>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tcPr>
          <w:p>
            <w:pPr>
              <w:jc w:val="center"/>
              <w:widowControl/>
              <w:rPr>
                <w:color w:val="auto"/>
                <w:highlight w:val="none"/>
              </w:rPr>
            </w:pPr>
            <w:r>
              <w:rPr>
                <w:rFonts w:hint="eastAsia"/>
                <w:color w:val="auto"/>
                <w:highlight w:val="none"/>
              </w:rPr>
              <w:t xml:space="preserve">过滤反冲洗装置</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tcPr>
          <w:p>
            <w:pPr>
              <w:jc w:val="center"/>
              <w:widowControl/>
              <w:rPr>
                <w:color w:val="auto"/>
                <w:highlight w:val="none"/>
              </w:rPr>
            </w:pPr>
            <w:r>
              <w:rPr>
                <w:rFonts w:hint="eastAsia"/>
                <w:color w:val="auto"/>
                <w:highlight w:val="none"/>
              </w:rPr>
              <w:t xml:space="preserve">电热鼓风干燥箱</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widowControl/>
              <w:rPr>
                <w:color w:val="auto"/>
                <w:highlight w:val="none"/>
              </w:rPr>
            </w:pPr>
            <w:r>
              <w:rPr>
                <w:rFonts w:hint="eastAsia"/>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tcPr>
          <w:p>
            <w:pPr>
              <w:jc w:val="center"/>
              <w:widowControl/>
              <w:rPr>
                <w:color w:val="auto"/>
                <w:highlight w:val="none"/>
              </w:rPr>
            </w:pPr>
            <w:r>
              <w:rPr>
                <w:rFonts w:hint="eastAsia"/>
                <w:color w:val="auto"/>
                <w:highlight w:val="none"/>
              </w:rPr>
              <w:t xml:space="preserve">循环水真空泵</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tcPr>
          <w:p>
            <w:pPr>
              <w:jc w:val="center"/>
              <w:widowControl/>
              <w:rPr>
                <w:color w:val="auto"/>
                <w:highlight w:val="none"/>
              </w:rPr>
            </w:pPr>
            <w:r>
              <w:rPr>
                <w:rFonts w:hint="eastAsia"/>
                <w:color w:val="auto"/>
                <w:highlight w:val="none"/>
              </w:rPr>
              <w:t xml:space="preserve">马弗炉</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bottom"/>
            <w:textDirection w:val="lrTb"/>
            <w:noWrap/>
          </w:tcPr>
          <w:p>
            <w:pPr>
              <w:ind w:firstLine="480"/>
              <w:widowControl/>
              <w:rPr>
                <w:color w:val="auto"/>
                <w:highlight w:val="none"/>
              </w:rPr>
            </w:pPr>
            <w:r>
              <w:rPr>
                <w:rFonts w:hint="eastAsia"/>
                <w:color w:val="auto"/>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tcPr>
          <w:p>
            <w:pPr>
              <w:jc w:val="center"/>
              <w:widowControl/>
              <w:rPr>
                <w:color w:val="auto"/>
                <w:highlight w:val="none"/>
              </w:rPr>
            </w:pPr>
            <w:r>
              <w:rPr>
                <w:rFonts w:hint="eastAsia"/>
                <w:color w:val="auto"/>
                <w:highlight w:val="none"/>
              </w:rPr>
              <w:t xml:space="preserve">台秤</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tcPr>
          <w:p>
            <w:pPr>
              <w:jc w:val="center"/>
              <w:widowControl/>
              <w:rPr>
                <w:color w:val="auto"/>
                <w:highlight w:val="none"/>
              </w:rPr>
            </w:pPr>
            <w:r>
              <w:rPr>
                <w:rFonts w:hint="eastAsia"/>
                <w:color w:val="auto"/>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color w:val="auto"/>
                <w:highlight w:val="none"/>
              </w:rPr>
              <w:t xml:space="preserve">个</w:t>
            </w:r>
            <w:r/>
          </w:p>
        </w:tc>
      </w:tr>
    </w:tbl>
    <w:p>
      <w:pPr>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5、大气污染控制实训室</w:t>
      </w:r>
      <w:r>
        <w:rPr>
          <w:rFonts w:hint="eastAsia"/>
          <w:color w:val="auto"/>
          <w:highlight w:val="none"/>
        </w:rPr>
        <w:t xml:space="preserve">：</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8"/>
        <w:gridCol w:w="4577"/>
        <w:gridCol w:w="1080"/>
        <w:gridCol w:w="1116"/>
      </w:tblGrid>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4577" w:type="dxa"/>
            <w:vAlign w:val="center"/>
            <w:textDirection w:val="lrTb"/>
            <w:noWrap w:val="false"/>
          </w:tcPr>
          <w:p>
            <w:pPr>
              <w:ind w:firstLine="480"/>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non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77" w:type="dxa"/>
            <w:vAlign w:val="center"/>
            <w:textDirection w:val="lrTb"/>
            <w:noWrap w:val="false"/>
          </w:tcPr>
          <w:p>
            <w:pPr>
              <w:jc w:val="center"/>
              <w:widowControl/>
              <w:rPr>
                <w:color w:val="auto"/>
                <w:highlight w:val="none"/>
              </w:rPr>
            </w:pPr>
            <w:r>
              <w:rPr>
                <w:rFonts w:hint="eastAsia"/>
                <w:color w:val="auto"/>
                <w:highlight w:val="none"/>
              </w:rPr>
              <w:t xml:space="preserve">智慧教学设备3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bottom"/>
            <w:textDirection w:val="lrTb"/>
            <w:noWrap/>
          </w:tcPr>
          <w:p>
            <w:pPr>
              <w:ind w:firstLine="480"/>
              <w:widowControl/>
              <w:rPr>
                <w:color w:val="auto"/>
                <w:highlight w:val="none"/>
              </w:rPr>
            </w:pPr>
            <w:r>
              <w:rPr>
                <w:rFonts w:hint="eastAsia"/>
                <w:color w:val="auto"/>
                <w:highlight w:val="none"/>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77" w:type="dxa"/>
            <w:vAlign w:val="center"/>
            <w:textDirection w:val="lrTb"/>
            <w:noWrap w:val="false"/>
          </w:tcPr>
          <w:p>
            <w:pPr>
              <w:jc w:val="center"/>
              <w:widowControl/>
              <w:rPr>
                <w:color w:val="auto"/>
                <w:highlight w:val="none"/>
              </w:rPr>
            </w:pPr>
            <w:r>
              <w:rPr>
                <w:rFonts w:hint="eastAsia"/>
                <w:color w:val="auto"/>
                <w:highlight w:val="none"/>
              </w:rPr>
              <w:t xml:space="preserve">环境空气综合采样器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bottom"/>
            <w:textDirection w:val="lrTb"/>
            <w:noWrap/>
          </w:tcPr>
          <w:p>
            <w:pPr>
              <w:ind w:firstLine="480"/>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77" w:type="dxa"/>
            <w:vAlign w:val="center"/>
            <w:textDirection w:val="lrTb"/>
            <w:noWrap w:val="false"/>
          </w:tcPr>
          <w:p>
            <w:pPr>
              <w:jc w:val="center"/>
              <w:widowControl/>
              <w:rPr>
                <w:color w:val="auto"/>
                <w:highlight w:val="none"/>
              </w:rPr>
            </w:pPr>
            <w:r>
              <w:rPr>
                <w:rFonts w:hint="eastAsia"/>
                <w:color w:val="auto"/>
                <w:highlight w:val="none"/>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bottom"/>
            <w:textDirection w:val="lrTb"/>
            <w:noWrap/>
          </w:tcPr>
          <w:p>
            <w:pPr>
              <w:ind w:firstLine="480"/>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77" w:type="dxa"/>
            <w:vAlign w:val="center"/>
            <w:textDirection w:val="lrTb"/>
            <w:noWrap w:val="false"/>
          </w:tcPr>
          <w:p>
            <w:pPr>
              <w:jc w:val="center"/>
              <w:widowControl/>
              <w:rPr>
                <w:color w:val="auto"/>
                <w:highlight w:val="none"/>
              </w:rPr>
            </w:pPr>
            <w:r>
              <w:rPr>
                <w:rFonts w:hint="eastAsia"/>
                <w:color w:val="auto"/>
                <w:highlight w:val="none"/>
              </w:rPr>
              <w:t xml:space="preserve">紫外可见分光光度计</w:t>
            </w:r>
            <w:r>
              <w:rPr>
                <w:rFonts w:hint="eastAsia"/>
                <w:b/>
                <w:color w:val="auto"/>
                <w:highlight w:val="none"/>
              </w:rPr>
              <w:t xml:space="preserve">（</w:t>
            </w:r>
            <w:r>
              <w:rPr>
                <w:rFonts w:hint="eastAsia"/>
                <w:b/>
                <w:color w:val="auto"/>
                <w:highlight w:val="none"/>
                <w:lang w:val="en-US"/>
              </w:rPr>
              <w:t xml:space="preserve">核心产品</w:t>
            </w:r>
            <w:r>
              <w:rPr>
                <w:rFonts w:hint="eastAsia"/>
                <w:b/>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bottom"/>
            <w:textDirection w:val="lrTb"/>
            <w:noWrap/>
          </w:tcPr>
          <w:p>
            <w:pPr>
              <w:ind w:firstLine="480"/>
              <w:widowControl/>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77" w:type="dxa"/>
            <w:vAlign w:val="center"/>
            <w:textDirection w:val="lrTb"/>
            <w:noWrap w:val="false"/>
          </w:tcPr>
          <w:p>
            <w:pPr>
              <w:jc w:val="center"/>
              <w:widowControl/>
              <w:rPr>
                <w:color w:val="auto"/>
                <w:highlight w:val="none"/>
              </w:rPr>
            </w:pPr>
            <w:r>
              <w:rPr>
                <w:rFonts w:hint="eastAsia"/>
                <w:color w:val="auto"/>
                <w:highlight w:val="none"/>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bottom"/>
            <w:textDirection w:val="lrTb"/>
            <w:noWrap/>
          </w:tcPr>
          <w:p>
            <w:pPr>
              <w:ind w:firstLine="480"/>
              <w:widowControl/>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val="false"/>
          </w:tcPr>
          <w:p>
            <w:pPr>
              <w:ind w:firstLine="480"/>
              <w:widowControl/>
              <w:rPr>
                <w:color w:val="auto"/>
                <w:highlight w:val="none"/>
              </w:rPr>
            </w:pPr>
            <w:r>
              <w:rPr>
                <w:rFonts w:hint="eastAsia"/>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77" w:type="dxa"/>
            <w:vAlign w:val="center"/>
            <w:textDirection w:val="lrTb"/>
            <w:noWrap w:val="false"/>
          </w:tcPr>
          <w:p>
            <w:pPr>
              <w:jc w:val="center"/>
              <w:widowControl/>
              <w:rPr>
                <w:color w:val="auto"/>
                <w:highlight w:val="none"/>
              </w:rPr>
            </w:pPr>
            <w:r>
              <w:rPr>
                <w:rFonts w:hint="eastAsia"/>
                <w:color w:val="auto"/>
                <w:highlight w:val="none"/>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bottom"/>
            <w:textDirection w:val="lrTb"/>
            <w:noWrap/>
          </w:tcPr>
          <w:p>
            <w:pPr>
              <w:ind w:firstLine="480"/>
              <w:widowControl/>
              <w:rPr>
                <w:color w:val="auto"/>
                <w:highlight w:val="none"/>
              </w:rPr>
            </w:pPr>
            <w:r>
              <w:rPr>
                <w:rFonts w:hint="eastAsia"/>
                <w:color w:val="auto"/>
                <w:highlight w:val="none"/>
              </w:rPr>
              <w:t xml:space="preserve">个</w:t>
            </w:r>
            <w:r/>
          </w:p>
        </w:tc>
      </w:tr>
    </w:tbl>
    <w:p>
      <w:pPr>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6、园林养护实训室</w:t>
      </w:r>
      <w:r>
        <w:rPr>
          <w:rFonts w:hint="eastAsia"/>
          <w:color w:val="auto"/>
          <w:highlight w:val="none"/>
        </w:rPr>
        <w:t xml:space="preserve">：</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8"/>
        <w:gridCol w:w="4589"/>
        <w:gridCol w:w="1056"/>
        <w:gridCol w:w="1128"/>
      </w:tblGrid>
      <w:tr>
        <w:trPr>
          <w:trHeight w:val="500"/>
        </w:trPr>
        <w:tc>
          <w:tcPr>
            <w:shd w:val="clear" w:color="auto" w:fill="auto"/>
            <w:tcBorders>
              <w:top w:val="single" w:color="000000" w:sz="4" w:space="0"/>
              <w:left w:val="single" w:color="000000" w:sz="4" w:space="0"/>
              <w:bottom w:val="none" w:color="000000" w:sz="4" w:space="0"/>
              <w:right w:val="single" w:color="000000" w:sz="4" w:space="0"/>
            </w:tcBorders>
            <w:tcW w:w="1388" w:type="dxa"/>
            <w:vAlign w:val="center"/>
            <w:textDirection w:val="lrTb"/>
            <w:noWrap/>
          </w:tcPr>
          <w:p>
            <w:pPr>
              <w:jc w:val="center"/>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none" w:color="000000" w:sz="4" w:space="0"/>
              <w:right w:val="single" w:color="000000" w:sz="4" w:space="0"/>
            </w:tcBorders>
            <w:tcW w:w="1056"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non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bl>
    <w:tbl>
      <w:tblPr>
        <w:tblStyle w:val="922"/>
        <w:tblW w:w="0" w:type="auto"/>
        <w:tblInd w:w="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8"/>
        <w:gridCol w:w="4589"/>
        <w:gridCol w:w="1068"/>
        <w:gridCol w:w="1116"/>
      </w:tblGrid>
      <w:tr>
        <w:trPr>
          <w:trHeight w:val="499"/>
        </w:trPr>
        <w:tc>
          <w:tcPr>
            <w:shd w:val="clear" w:color="auto" w:fill="auto"/>
            <w:tcW w:w="1388" w:type="dxa"/>
            <w:vAlign w:val="center"/>
            <w:textDirection w:val="lrTb"/>
            <w:noWrap w:val="false"/>
          </w:tcPr>
          <w:p>
            <w:pPr>
              <w:ind w:firstLine="480"/>
              <w:jc w:val="both"/>
              <w:widowControl/>
              <w:rPr>
                <w:color w:val="auto"/>
                <w:highlight w:val="none"/>
              </w:rPr>
            </w:pPr>
            <w:r>
              <w:rPr>
                <w:rFonts w:hint="eastAsia"/>
                <w:color w:val="auto"/>
                <w:highlight w:val="none"/>
              </w:rPr>
              <w:t xml:space="preserve">1</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土壤墒情传感器（含采集器）</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20</w:t>
            </w:r>
            <w:r/>
          </w:p>
        </w:tc>
        <w:tc>
          <w:tcPr>
            <w:tcW w:w="1116" w:type="dxa"/>
            <w:textDirection w:val="lrTb"/>
            <w:noWrap w:val="false"/>
          </w:tcPr>
          <w:p>
            <w:pPr>
              <w:jc w:val="center"/>
              <w:rPr>
                <w:color w:val="auto"/>
                <w:highlight w:val="none"/>
              </w:rPr>
            </w:pPr>
            <w:r>
              <w:rPr>
                <w:rFonts w:hint="eastAsia"/>
                <w:color w:val="auto"/>
                <w:highlight w:val="none"/>
              </w:rPr>
              <w:t xml:space="preserve">个</w:t>
            </w:r>
            <w:r/>
          </w:p>
        </w:tc>
      </w:tr>
      <w:tr>
        <w:trPr>
          <w:trHeight w:val="499"/>
        </w:trPr>
        <w:tc>
          <w:tcPr>
            <w:shd w:val="clear" w:color="auto" w:fill="auto"/>
            <w:tcW w:w="1388" w:type="dxa"/>
            <w:vAlign w:val="bottom"/>
            <w:textDirection w:val="lrTb"/>
            <w:noWrap w:val="false"/>
          </w:tcPr>
          <w:p>
            <w:pPr>
              <w:ind w:firstLine="480"/>
              <w:jc w:val="both"/>
              <w:widowControl/>
              <w:rPr>
                <w:color w:val="auto"/>
                <w:highlight w:val="none"/>
              </w:rPr>
            </w:pPr>
            <w:r>
              <w:rPr>
                <w:rFonts w:hint="eastAsia"/>
                <w:color w:val="auto"/>
                <w:highlight w:val="none"/>
              </w:rPr>
              <w:t xml:space="preserve">2</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土壤pH/肥力速测仪</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shd w:val="clear" w:color="auto" w:fill="auto"/>
            <w:tcW w:w="1388" w:type="dxa"/>
            <w:vAlign w:val="center"/>
            <w:textDirection w:val="lrTb"/>
            <w:noWrap w:val="false"/>
          </w:tcPr>
          <w:p>
            <w:pPr>
              <w:ind w:firstLine="480"/>
              <w:jc w:val="both"/>
              <w:widowControl/>
              <w:rPr>
                <w:color w:val="auto"/>
                <w:highlight w:val="none"/>
              </w:rPr>
            </w:pPr>
            <w:r>
              <w:rPr>
                <w:rFonts w:hint="eastAsia"/>
                <w:color w:val="auto"/>
                <w:highlight w:val="none"/>
              </w:rPr>
              <w:t xml:space="preserve">3</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树木生长锥取样器</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shd w:val="clear" w:color="auto" w:fill="auto"/>
            <w:tcW w:w="1388" w:type="dxa"/>
            <w:vAlign w:val="bottom"/>
            <w:textDirection w:val="lrTb"/>
            <w:noWrap w:val="false"/>
          </w:tcPr>
          <w:p>
            <w:pPr>
              <w:ind w:firstLine="480"/>
              <w:jc w:val="both"/>
              <w:widowControl/>
              <w:rPr>
                <w:color w:val="auto"/>
                <w:highlight w:val="none"/>
              </w:rPr>
            </w:pPr>
            <w:r>
              <w:rPr>
                <w:rFonts w:hint="eastAsia"/>
                <w:color w:val="auto"/>
                <w:highlight w:val="none"/>
              </w:rPr>
              <w:t xml:space="preserve">4</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电动绿篱修剪机</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shd w:val="clear" w:color="auto" w:fill="auto"/>
            <w:tcW w:w="1388" w:type="dxa"/>
            <w:vAlign w:val="center"/>
            <w:textDirection w:val="lrTb"/>
            <w:noWrap w:val="false"/>
          </w:tcPr>
          <w:p>
            <w:pPr>
              <w:ind w:firstLine="480"/>
              <w:jc w:val="both"/>
              <w:widowControl/>
              <w:rPr>
                <w:color w:val="auto"/>
                <w:highlight w:val="none"/>
              </w:rPr>
            </w:pPr>
            <w:r>
              <w:rPr>
                <w:rFonts w:hint="eastAsia"/>
                <w:color w:val="auto"/>
                <w:highlight w:val="none"/>
              </w:rPr>
              <w:t xml:space="preserve">5</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手持叶绿素测定仪</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shd w:val="clear" w:color="auto" w:fill="auto"/>
            <w:tcW w:w="1388" w:type="dxa"/>
            <w:vAlign w:val="bottom"/>
            <w:textDirection w:val="lrTb"/>
            <w:noWrap w:val="false"/>
          </w:tcPr>
          <w:p>
            <w:pPr>
              <w:ind w:firstLine="480"/>
              <w:jc w:val="both"/>
              <w:widowControl/>
              <w:rPr>
                <w:color w:val="auto"/>
                <w:highlight w:val="none"/>
              </w:rPr>
            </w:pPr>
            <w:r>
              <w:rPr>
                <w:rFonts w:hint="eastAsia"/>
                <w:color w:val="auto"/>
                <w:highlight w:val="none"/>
              </w:rPr>
              <w:t xml:space="preserve">6</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光照计</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20</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shd w:val="clear" w:color="auto" w:fill="auto"/>
            <w:tcW w:w="1388" w:type="dxa"/>
            <w:vAlign w:val="center"/>
            <w:textDirection w:val="lrTb"/>
            <w:noWrap w:val="false"/>
          </w:tcPr>
          <w:p>
            <w:pPr>
              <w:ind w:firstLine="480"/>
              <w:jc w:val="both"/>
              <w:widowControl/>
              <w:rPr>
                <w:color w:val="auto"/>
                <w:highlight w:val="none"/>
              </w:rPr>
            </w:pPr>
            <w:r>
              <w:rPr>
                <w:rFonts w:hint="eastAsia"/>
                <w:color w:val="auto"/>
                <w:highlight w:val="none"/>
              </w:rPr>
              <w:t xml:space="preserve">7</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电子温度计</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20</w:t>
            </w:r>
            <w:r/>
          </w:p>
        </w:tc>
        <w:tc>
          <w:tcPr>
            <w:tcW w:w="1116" w:type="dxa"/>
            <w:textDirection w:val="lrTb"/>
            <w:noWrap w:val="false"/>
          </w:tcPr>
          <w:p>
            <w:pPr>
              <w:jc w:val="center"/>
              <w:rPr>
                <w:color w:val="auto"/>
                <w:highlight w:val="none"/>
              </w:rPr>
            </w:pPr>
            <w:r>
              <w:rPr>
                <w:rFonts w:hint="eastAsia"/>
                <w:color w:val="auto"/>
                <w:highlight w:val="none"/>
              </w:rPr>
              <w:t xml:space="preserve">个</w:t>
            </w:r>
            <w:r/>
          </w:p>
        </w:tc>
      </w:tr>
      <w:tr>
        <w:trPr>
          <w:trHeight w:val="499"/>
        </w:trPr>
        <w:tc>
          <w:tcPr>
            <w:shd w:val="clear" w:color="auto" w:fill="auto"/>
            <w:tcW w:w="1388" w:type="dxa"/>
            <w:vAlign w:val="bottom"/>
            <w:textDirection w:val="lrTb"/>
            <w:noWrap w:val="false"/>
          </w:tcPr>
          <w:p>
            <w:pPr>
              <w:ind w:firstLine="480"/>
              <w:jc w:val="both"/>
              <w:widowControl/>
              <w:rPr>
                <w:color w:val="auto"/>
                <w:highlight w:val="none"/>
              </w:rPr>
            </w:pPr>
            <w:r>
              <w:rPr>
                <w:rFonts w:hint="eastAsia"/>
                <w:color w:val="auto"/>
                <w:highlight w:val="none"/>
              </w:rPr>
              <w:t xml:space="preserve">8</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温度风量风速仪</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shd w:val="clear" w:color="auto" w:fill="auto"/>
            <w:tcW w:w="1388" w:type="dxa"/>
            <w:vAlign w:val="center"/>
            <w:textDirection w:val="lrTb"/>
            <w:noWrap w:val="false"/>
          </w:tcPr>
          <w:p>
            <w:pPr>
              <w:ind w:firstLine="480"/>
              <w:jc w:val="both"/>
              <w:widowControl/>
              <w:rPr>
                <w:color w:val="auto"/>
                <w:highlight w:val="none"/>
              </w:rPr>
            </w:pPr>
            <w:r>
              <w:rPr>
                <w:rFonts w:hint="eastAsia"/>
                <w:color w:val="auto"/>
                <w:highlight w:val="none"/>
              </w:rPr>
              <w:t xml:space="preserve">9</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土壤水分探测仪</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tcW w:w="1116" w:type="dxa"/>
            <w:textDirection w:val="lrTb"/>
            <w:noWrap w:val="false"/>
          </w:tcPr>
          <w:p>
            <w:pPr>
              <w:jc w:val="center"/>
              <w:rPr>
                <w:color w:val="auto"/>
                <w:highlight w:val="none"/>
              </w:rPr>
            </w:pPr>
            <w:r>
              <w:rPr>
                <w:rFonts w:hint="eastAsia"/>
                <w:color w:val="auto"/>
                <w:highlight w:val="none"/>
              </w:rPr>
              <w:t xml:space="preserve">个</w:t>
            </w:r>
            <w:r/>
          </w:p>
        </w:tc>
      </w:tr>
      <w:tr>
        <w:trPr>
          <w:trHeight w:val="499"/>
        </w:trPr>
        <w:tc>
          <w:tcPr>
            <w:shd w:val="clear" w:color="auto" w:fill="auto"/>
            <w:tcW w:w="1388" w:type="dxa"/>
            <w:vAlign w:val="bottom"/>
            <w:textDirection w:val="lrTb"/>
            <w:noWrap w:val="false"/>
          </w:tcPr>
          <w:p>
            <w:pPr>
              <w:ind w:firstLine="480"/>
              <w:jc w:val="both"/>
              <w:widowControl/>
              <w:rPr>
                <w:color w:val="auto"/>
                <w:highlight w:val="none"/>
              </w:rPr>
            </w:pPr>
            <w:r>
              <w:rPr>
                <w:rFonts w:hint="eastAsia"/>
                <w:color w:val="auto"/>
                <w:highlight w:val="none"/>
              </w:rPr>
              <w:t xml:space="preserve">10</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便携式叶面积仪</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tcW w:w="1116" w:type="dxa"/>
            <w:textDirection w:val="lrTb"/>
            <w:noWrap w:val="false"/>
          </w:tcPr>
          <w:p>
            <w:pPr>
              <w:jc w:val="center"/>
              <w:rPr>
                <w:color w:val="auto"/>
                <w:highlight w:val="none"/>
              </w:rPr>
            </w:pPr>
            <w:r>
              <w:rPr>
                <w:rFonts w:hint="eastAsia"/>
                <w:color w:val="auto"/>
                <w:highlight w:val="none"/>
              </w:rPr>
              <w:t xml:space="preserve">个</w:t>
            </w:r>
            <w:r/>
          </w:p>
        </w:tc>
      </w:tr>
      <w:tr>
        <w:trPr>
          <w:trHeight w:val="499"/>
        </w:trPr>
        <w:tc>
          <w:tcPr>
            <w:shd w:val="clear" w:color="auto" w:fill="auto"/>
            <w:tcW w:w="1388" w:type="dxa"/>
            <w:vAlign w:val="center"/>
            <w:textDirection w:val="lrTb"/>
            <w:noWrap w:val="false"/>
          </w:tcPr>
          <w:p>
            <w:pPr>
              <w:ind w:firstLine="480"/>
              <w:jc w:val="both"/>
              <w:widowControl/>
              <w:rPr>
                <w:color w:val="auto"/>
                <w:highlight w:val="none"/>
              </w:rPr>
            </w:pPr>
            <w:r>
              <w:rPr>
                <w:rFonts w:hint="eastAsia"/>
                <w:color w:val="auto"/>
                <w:highlight w:val="none"/>
              </w:rPr>
              <w:t xml:space="preserve">11</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植物人工气候培养箱</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4</w:t>
            </w:r>
            <w:r/>
          </w:p>
        </w:tc>
        <w:tc>
          <w:tcPr>
            <w:tcW w:w="1116" w:type="dxa"/>
            <w:textDirection w:val="lrTb"/>
            <w:noWrap w:val="false"/>
          </w:tcPr>
          <w:p>
            <w:pPr>
              <w:jc w:val="center"/>
              <w:rPr>
                <w:color w:val="auto"/>
                <w:highlight w:val="none"/>
              </w:rPr>
            </w:pPr>
            <w:r>
              <w:rPr>
                <w:rFonts w:hint="eastAsia"/>
                <w:color w:val="auto"/>
                <w:highlight w:val="none"/>
              </w:rPr>
              <w:t xml:space="preserve">个</w:t>
            </w:r>
            <w:r/>
          </w:p>
        </w:tc>
      </w:tr>
      <w:tr>
        <w:trPr>
          <w:trHeight w:val="499"/>
        </w:trPr>
        <w:tc>
          <w:tcPr>
            <w:shd w:val="clear" w:color="auto" w:fill="auto"/>
            <w:tcW w:w="1388" w:type="dxa"/>
            <w:vAlign w:val="center"/>
            <w:textDirection w:val="lrTb"/>
            <w:noWrap w:val="false"/>
          </w:tcPr>
          <w:p>
            <w:pPr>
              <w:ind w:firstLine="480"/>
              <w:jc w:val="both"/>
              <w:widowControl/>
              <w:rPr>
                <w:color w:val="auto"/>
                <w:highlight w:val="none"/>
              </w:rPr>
            </w:pPr>
            <w:r>
              <w:rPr>
                <w:rFonts w:hint="eastAsia"/>
                <w:color w:val="auto"/>
                <w:highlight w:val="none"/>
              </w:rPr>
              <w:t xml:space="preserve">12</w:t>
            </w:r>
            <w:r/>
          </w:p>
        </w:tc>
        <w:tc>
          <w:tcPr>
            <w:shd w:val="clear" w:color="auto" w:fill="auto"/>
            <w:tcW w:w="4589" w:type="dxa"/>
            <w:vAlign w:val="center"/>
            <w:textDirection w:val="lrTb"/>
            <w:noWrap w:val="false"/>
          </w:tcPr>
          <w:p>
            <w:pPr>
              <w:jc w:val="center"/>
              <w:widowControl/>
              <w:rPr>
                <w:color w:val="auto"/>
                <w:highlight w:val="none"/>
              </w:rPr>
            </w:pPr>
            <w:r>
              <w:rPr>
                <w:rFonts w:hint="eastAsia"/>
                <w:color w:val="auto"/>
                <w:highlight w:val="none"/>
              </w:rPr>
              <w:t xml:space="preserve">植物人工气候培养箱（智能温控种子发芽箱）</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tcW w:w="1116" w:type="dxa"/>
            <w:vAlign w:val="center"/>
            <w:textDirection w:val="lrTb"/>
            <w:noWrap w:val="false"/>
          </w:tcPr>
          <w:p>
            <w:pPr>
              <w:jc w:val="center"/>
              <w:rPr>
                <w:color w:val="auto"/>
                <w:highlight w:val="none"/>
              </w:rPr>
            </w:pPr>
            <w:r>
              <w:rPr>
                <w:rFonts w:hint="eastAsia"/>
                <w:color w:val="auto"/>
                <w:highlight w:val="none"/>
              </w:rPr>
              <w:t xml:space="preserve">个</w:t>
            </w:r>
            <w:r/>
          </w:p>
        </w:tc>
      </w:tr>
      <w:tr>
        <w:trPr>
          <w:trHeight w:val="499"/>
        </w:trPr>
        <w:tc>
          <w:tcPr>
            <w:shd w:val="clear" w:color="auto" w:fill="auto"/>
            <w:tcW w:w="1388" w:type="dxa"/>
            <w:vAlign w:val="center"/>
            <w:textDirection w:val="lrTb"/>
            <w:noWrap w:val="false"/>
          </w:tcPr>
          <w:p>
            <w:pPr>
              <w:ind w:firstLine="480"/>
              <w:jc w:val="both"/>
              <w:widowControl/>
              <w:rPr>
                <w:color w:val="auto"/>
                <w:highlight w:val="none"/>
              </w:rPr>
            </w:pPr>
            <w:r>
              <w:rPr>
                <w:rFonts w:hint="eastAsia"/>
                <w:color w:val="auto"/>
                <w:highlight w:val="none"/>
              </w:rPr>
              <w:t xml:space="preserve">13</w:t>
            </w:r>
            <w:r/>
          </w:p>
        </w:tc>
        <w:tc>
          <w:tcPr>
            <w:shd w:val="clear" w:color="auto" w:fill="auto"/>
            <w:tcW w:w="4589" w:type="dxa"/>
            <w:vAlign w:val="center"/>
            <w:textDirection w:val="lrTb"/>
            <w:noWrap w:val="false"/>
          </w:tcPr>
          <w:p>
            <w:pPr>
              <w:jc w:val="center"/>
              <w:widowControl/>
              <w:rPr>
                <w:color w:val="auto"/>
                <w:highlight w:val="none"/>
              </w:rPr>
            </w:pPr>
            <w:r>
              <w:rPr>
                <w:rFonts w:hint="eastAsia"/>
                <w:color w:val="auto"/>
                <w:highlight w:val="none"/>
              </w:rPr>
              <w:t xml:space="preserve">便携式电动打草机</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5</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tcW w:w="1388" w:type="dxa"/>
            <w:textDirection w:val="lrTb"/>
            <w:noWrap w:val="false"/>
          </w:tcPr>
          <w:p>
            <w:pPr>
              <w:jc w:val="center"/>
              <w:rPr>
                <w:color w:val="auto"/>
                <w:highlight w:val="none"/>
              </w:rPr>
            </w:pPr>
            <w:r>
              <w:rPr>
                <w:rFonts w:hint="eastAsia"/>
                <w:color w:val="auto"/>
                <w:highlight w:val="none"/>
              </w:rPr>
              <w:t xml:space="preserve">14</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电动嫁接机</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tcW w:w="1388" w:type="dxa"/>
            <w:textDirection w:val="lrTb"/>
            <w:noWrap w:val="false"/>
          </w:tcPr>
          <w:p>
            <w:pPr>
              <w:jc w:val="center"/>
              <w:rPr>
                <w:color w:val="auto"/>
                <w:highlight w:val="none"/>
              </w:rPr>
            </w:pPr>
            <w:r>
              <w:rPr>
                <w:rFonts w:hint="eastAsia"/>
                <w:color w:val="auto"/>
                <w:highlight w:val="none"/>
              </w:rPr>
              <w:t xml:space="preserve">15</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光学显微镜及切片</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20</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tcW w:w="1388" w:type="dxa"/>
            <w:textDirection w:val="lrTb"/>
            <w:noWrap w:val="false"/>
          </w:tcPr>
          <w:p>
            <w:pPr>
              <w:jc w:val="center"/>
              <w:rPr>
                <w:color w:val="auto"/>
                <w:highlight w:val="none"/>
              </w:rPr>
            </w:pPr>
            <w:r>
              <w:rPr>
                <w:rFonts w:hint="eastAsia"/>
                <w:color w:val="auto"/>
                <w:highlight w:val="none"/>
              </w:rPr>
              <w:t xml:space="preserve">16</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草坪精播机</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tcW w:w="1388" w:type="dxa"/>
            <w:textDirection w:val="lrTb"/>
            <w:noWrap w:val="false"/>
          </w:tcPr>
          <w:p>
            <w:pPr>
              <w:jc w:val="center"/>
              <w:rPr>
                <w:color w:val="auto"/>
                <w:highlight w:val="none"/>
              </w:rPr>
            </w:pPr>
            <w:r>
              <w:rPr>
                <w:rFonts w:hint="eastAsia"/>
                <w:color w:val="auto"/>
                <w:highlight w:val="none"/>
              </w:rPr>
              <w:t xml:space="preserve">17</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草坪修剪机</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tcW w:w="1388" w:type="dxa"/>
            <w:textDirection w:val="lrTb"/>
            <w:noWrap w:val="false"/>
          </w:tcPr>
          <w:p>
            <w:pPr>
              <w:jc w:val="center"/>
              <w:rPr>
                <w:color w:val="auto"/>
                <w:highlight w:val="none"/>
              </w:rPr>
            </w:pPr>
            <w:r>
              <w:rPr>
                <w:rFonts w:hint="eastAsia"/>
                <w:color w:val="auto"/>
                <w:highlight w:val="none"/>
              </w:rPr>
              <w:t xml:space="preserve">18</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割草机器人</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tcW w:w="1388" w:type="dxa"/>
            <w:textDirection w:val="lrTb"/>
            <w:noWrap w:val="false"/>
          </w:tcPr>
          <w:p>
            <w:pPr>
              <w:jc w:val="center"/>
              <w:rPr>
                <w:color w:val="auto"/>
                <w:highlight w:val="none"/>
              </w:rPr>
            </w:pPr>
            <w:r>
              <w:rPr>
                <w:rFonts w:hint="eastAsia"/>
                <w:color w:val="auto"/>
                <w:highlight w:val="none"/>
              </w:rPr>
              <w:t xml:space="preserve">19</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病虫害测报灯</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tcW w:w="1116" w:type="dxa"/>
            <w:textDirection w:val="lrTb"/>
            <w:noWrap w:val="false"/>
          </w:tcPr>
          <w:p>
            <w:pPr>
              <w:jc w:val="center"/>
              <w:rPr>
                <w:color w:val="auto"/>
                <w:highlight w:val="none"/>
              </w:rPr>
            </w:pPr>
            <w:r>
              <w:rPr>
                <w:rFonts w:hint="eastAsia"/>
                <w:color w:val="auto"/>
                <w:highlight w:val="none"/>
              </w:rPr>
              <w:t xml:space="preserve">个</w:t>
            </w:r>
            <w:r/>
          </w:p>
        </w:tc>
      </w:tr>
      <w:tr>
        <w:trPr>
          <w:trHeight w:val="499"/>
        </w:trPr>
        <w:tc>
          <w:tcPr>
            <w:tcW w:w="1388" w:type="dxa"/>
            <w:textDirection w:val="lrTb"/>
            <w:noWrap w:val="false"/>
          </w:tcPr>
          <w:p>
            <w:pPr>
              <w:jc w:val="center"/>
              <w:rPr>
                <w:color w:val="auto"/>
                <w:highlight w:val="none"/>
              </w:rPr>
            </w:pPr>
            <w:r>
              <w:rPr>
                <w:rFonts w:hint="eastAsia"/>
                <w:color w:val="auto"/>
                <w:highlight w:val="none"/>
              </w:rPr>
              <w:t xml:space="preserve">20</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智能土壤监测设备</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3</w:t>
            </w:r>
            <w:r/>
          </w:p>
        </w:tc>
        <w:tc>
          <w:tcPr>
            <w:tcW w:w="1116" w:type="dxa"/>
            <w:textDirection w:val="lrTb"/>
            <w:noWrap w:val="false"/>
          </w:tcPr>
          <w:p>
            <w:pPr>
              <w:jc w:val="center"/>
              <w:rPr>
                <w:color w:val="auto"/>
                <w:highlight w:val="none"/>
              </w:rPr>
            </w:pPr>
            <w:r>
              <w:rPr>
                <w:rFonts w:hint="eastAsia"/>
                <w:color w:val="auto"/>
                <w:highlight w:val="none"/>
              </w:rPr>
              <w:t xml:space="preserve">台</w:t>
            </w:r>
            <w:r/>
          </w:p>
        </w:tc>
      </w:tr>
      <w:tr>
        <w:trPr>
          <w:trHeight w:val="499"/>
        </w:trPr>
        <w:tc>
          <w:tcPr>
            <w:tcW w:w="1388" w:type="dxa"/>
            <w:textDirection w:val="lrTb"/>
            <w:noWrap w:val="false"/>
          </w:tcPr>
          <w:p>
            <w:pPr>
              <w:jc w:val="center"/>
              <w:rPr>
                <w:color w:val="auto"/>
                <w:highlight w:val="none"/>
              </w:rPr>
            </w:pPr>
            <w:r>
              <w:rPr>
                <w:rFonts w:hint="eastAsia"/>
                <w:color w:val="auto"/>
                <w:highlight w:val="none"/>
              </w:rPr>
              <w:t xml:space="preserve">21</w:t>
            </w:r>
            <w:r/>
          </w:p>
        </w:tc>
        <w:tc>
          <w:tcPr>
            <w:shd w:val="clear" w:color="auto" w:fill="auto"/>
            <w:tcW w:w="4589" w:type="dxa"/>
            <w:vAlign w:val="center"/>
            <w:textDirection w:val="lrTb"/>
            <w:noWrap w:val="false"/>
          </w:tcPr>
          <w:p>
            <w:pPr>
              <w:jc w:val="center"/>
              <w:widowControl/>
              <w:rPr>
                <w:color w:val="auto"/>
                <w:highlight w:val="none"/>
              </w:rPr>
            </w:pPr>
            <w:r>
              <w:rPr>
                <w:rFonts w:hint="eastAsia"/>
                <w:color w:val="auto"/>
                <w:highlight w:val="none"/>
              </w:rPr>
              <w:t xml:space="preserve">手持式红外测温仪</w:t>
            </w:r>
            <w:r/>
          </w:p>
        </w:tc>
        <w:tc>
          <w:tcPr>
            <w:shd w:val="clear" w:color="auto" w:fill="auto"/>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tcW w:w="1116" w:type="dxa"/>
            <w:textDirection w:val="lrTb"/>
            <w:noWrap w:val="false"/>
          </w:tcPr>
          <w:p>
            <w:pPr>
              <w:jc w:val="center"/>
              <w:rPr>
                <w:color w:val="auto"/>
                <w:highlight w:val="none"/>
              </w:rPr>
            </w:pPr>
            <w:r>
              <w:rPr>
                <w:rFonts w:hint="eastAsia"/>
                <w:color w:val="auto"/>
                <w:highlight w:val="none"/>
              </w:rPr>
              <w:t xml:space="preserve">个</w:t>
            </w:r>
            <w:r/>
          </w:p>
        </w:tc>
      </w:tr>
      <w:tr>
        <w:trPr>
          <w:trHeight w:val="499"/>
        </w:trPr>
        <w:tc>
          <w:tcPr>
            <w:tcW w:w="1388" w:type="dxa"/>
            <w:textDirection w:val="lrTb"/>
            <w:noWrap w:val="false"/>
          </w:tcPr>
          <w:p>
            <w:pPr>
              <w:jc w:val="center"/>
              <w:rPr>
                <w:color w:val="auto"/>
                <w:highlight w:val="none"/>
              </w:rPr>
            </w:pPr>
            <w:r>
              <w:rPr>
                <w:rFonts w:hint="eastAsia"/>
                <w:color w:val="auto"/>
                <w:highlight w:val="none"/>
              </w:rPr>
              <w:t xml:space="preserve">22</w:t>
            </w:r>
            <w:r/>
          </w:p>
        </w:tc>
        <w:tc>
          <w:tcPr>
            <w:shd w:val="clear" w:color="auto" w:fill="auto"/>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智慧教学设备3</w:t>
            </w:r>
            <w:r/>
          </w:p>
        </w:tc>
        <w:tc>
          <w:tcPr>
            <w:tcW w:w="1068" w:type="dxa"/>
            <w:textDirection w:val="lrTb"/>
            <w:noWrap w:val="false"/>
          </w:tcPr>
          <w:p>
            <w:pPr>
              <w:jc w:val="center"/>
              <w:rPr>
                <w:color w:val="auto"/>
                <w:highlight w:val="none"/>
              </w:rPr>
            </w:pPr>
            <w:r>
              <w:rPr>
                <w:rFonts w:hint="eastAsia"/>
                <w:color w:val="auto"/>
                <w:highlight w:val="none"/>
              </w:rPr>
              <w:t xml:space="preserve">1</w:t>
            </w:r>
            <w:r/>
          </w:p>
        </w:tc>
        <w:tc>
          <w:tcPr>
            <w:tcW w:w="1116" w:type="dxa"/>
            <w:textDirection w:val="lrTb"/>
            <w:noWrap w:val="false"/>
          </w:tcPr>
          <w:p>
            <w:pPr>
              <w:jc w:val="center"/>
              <w:rPr>
                <w:color w:val="auto"/>
                <w:highlight w:val="none"/>
              </w:rPr>
            </w:pPr>
            <w:r>
              <w:rPr>
                <w:rFonts w:hint="eastAsia"/>
                <w:color w:val="auto"/>
                <w:highlight w:val="none"/>
              </w:rPr>
              <w:t xml:space="preserve">套</w:t>
            </w:r>
            <w:r/>
          </w:p>
        </w:tc>
      </w:tr>
    </w:tbl>
    <w:p>
      <w:pPr>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7、风景园林设计实训室</w:t>
      </w:r>
      <w:r>
        <w:rPr>
          <w:rFonts w:hint="eastAsia"/>
          <w:color w:val="auto"/>
          <w:highlight w:val="none"/>
        </w:rPr>
        <w:t xml:space="preserve">：</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8"/>
        <w:gridCol w:w="4601"/>
        <w:gridCol w:w="1044"/>
        <w:gridCol w:w="1128"/>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ind w:firstLine="480"/>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jc w:val="center"/>
              <w:widowControl/>
              <w:rPr>
                <w:color w:val="auto"/>
                <w:highlight w:val="none"/>
              </w:rPr>
            </w:pPr>
            <w:r>
              <w:rPr>
                <w:rFonts w:hint="eastAsia"/>
                <w:color w:val="auto"/>
                <w:highlight w:val="none"/>
              </w:rPr>
              <w:t xml:space="preserve">智慧多功能绘图组合1</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color w:val="auto"/>
                <w:highlight w:val="none"/>
              </w:rPr>
            </w:pPr>
            <w:r>
              <w:rPr>
                <w:rFonts w:hint="eastAsia"/>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color w:val="auto"/>
                <w:highlight w:val="none"/>
              </w:rPr>
            </w:pPr>
            <w:r>
              <w:rPr>
                <w:rFonts w:hint="eastAsia"/>
                <w:color w:val="auto"/>
                <w:highlight w:val="none"/>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01" w:type="dxa"/>
            <w:vAlign w:val="center"/>
            <w:textDirection w:val="lrTb"/>
            <w:noWrap w:val="false"/>
          </w:tcPr>
          <w:p>
            <w:pPr>
              <w:jc w:val="center"/>
              <w:widowControl/>
              <w:rPr>
                <w:color w:val="auto"/>
                <w:highlight w:val="none"/>
              </w:rPr>
            </w:pPr>
            <w:r>
              <w:rPr>
                <w:rFonts w:hint="eastAsia"/>
                <w:color w:val="auto"/>
                <w:highlight w:val="none"/>
              </w:rPr>
              <w:t xml:space="preserve">智慧教学设备2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8" w:type="dxa"/>
            <w:vAlign w:val="center"/>
            <w:textDirection w:val="lrTb"/>
            <w:noWrap/>
          </w:tcPr>
          <w:p>
            <w:pPr>
              <w:jc w:val="center"/>
              <w:rPr>
                <w:color w:val="auto"/>
                <w:highlight w:val="none"/>
              </w:rPr>
            </w:pPr>
            <w:r>
              <w:rPr>
                <w:rFonts w:hint="eastAsia"/>
                <w:color w:val="auto"/>
                <w:highlight w:val="none"/>
              </w:rPr>
              <w:t xml:space="preserve">套</w:t>
            </w:r>
            <w:r/>
          </w:p>
        </w:tc>
      </w:tr>
    </w:tbl>
    <w:p>
      <w:pPr>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8、园林制图实训室</w:t>
      </w:r>
      <w:r>
        <w:rPr>
          <w:rFonts w:hint="eastAsia"/>
          <w:color w:val="auto"/>
          <w:highlight w:val="none"/>
        </w:rPr>
        <w:t xml:space="preserve">：</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8"/>
        <w:gridCol w:w="4589"/>
        <w:gridCol w:w="1080"/>
        <w:gridCol w:w="1116"/>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智慧多功能绘图组合</w:t>
            </w:r>
            <w:r>
              <w:rPr>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rPr>
                <w:color w:val="auto"/>
                <w:highlight w:val="none"/>
              </w:rPr>
            </w:pPr>
            <w:r>
              <w:rPr>
                <w:rFonts w:hint="eastAsia"/>
                <w:color w:val="auto"/>
                <w:highlight w:val="none"/>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智慧教学设备2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rPr>
                <w:color w:val="auto"/>
                <w:highlight w:val="none"/>
              </w:rPr>
            </w:pPr>
            <w:r>
              <w:rPr>
                <w:rFonts w:hint="eastAsia"/>
                <w:color w:val="auto"/>
                <w:highlight w:val="none"/>
              </w:rPr>
              <w:t xml:space="preserve">套</w:t>
            </w:r>
            <w:r/>
          </w:p>
        </w:tc>
      </w:tr>
    </w:tbl>
    <w:p>
      <w:pPr>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9、园林工程实训室</w:t>
      </w:r>
      <w:r>
        <w:rPr>
          <w:rFonts w:hint="eastAsia"/>
          <w:color w:val="auto"/>
          <w:highlight w:val="none"/>
        </w:rPr>
        <w:t xml:space="preserve">：</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8"/>
        <w:gridCol w:w="4589"/>
        <w:gridCol w:w="1080"/>
        <w:gridCol w:w="1092"/>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智慧多功能绘图组合2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jc w:val="center"/>
              <w:rPr>
                <w:color w:val="auto"/>
                <w:highlight w:val="none"/>
              </w:rPr>
            </w:pPr>
            <w:r>
              <w:rPr>
                <w:rFonts w:hint="eastAsia"/>
                <w:color w:val="auto"/>
                <w:highlight w:val="none"/>
              </w:rPr>
              <w:t xml:space="preserve">套</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textDirection w:val="lrTb"/>
            <w:noWrap/>
          </w:tcPr>
          <w:p>
            <w:pPr>
              <w:jc w:val="center"/>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电锯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textDirection w:val="lrTb"/>
            <w:noWrap/>
          </w:tcPr>
          <w:p>
            <w:pPr>
              <w:jc w:val="center"/>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color w:val="auto"/>
                <w:highlight w:val="none"/>
              </w:rPr>
              <w:t xml:space="preserve">电动夯土机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textDirection w:val="lrTb"/>
            <w:noWrap/>
          </w:tcPr>
          <w:p>
            <w:pPr>
              <w:jc w:val="center"/>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color w:val="auto"/>
                <w:highlight w:val="none"/>
              </w:rPr>
              <w:t xml:space="preserve">激光水平仪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textDirection w:val="lrTb"/>
            <w:noWrap/>
          </w:tcPr>
          <w:p>
            <w:pPr>
              <w:jc w:val="center"/>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color w:val="auto"/>
                <w:highlight w:val="none"/>
              </w:rPr>
              <w:t xml:space="preserve">角磨机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textDirection w:val="lrTb"/>
            <w:noWrap/>
          </w:tcPr>
          <w:p>
            <w:pPr>
              <w:jc w:val="center"/>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color w:val="auto"/>
                <w:highlight w:val="none"/>
              </w:rPr>
              <w:t xml:space="preserve">电钻</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textDirection w:val="lrTb"/>
            <w:noWrap/>
          </w:tcPr>
          <w:p>
            <w:pPr>
              <w:jc w:val="center"/>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color w:val="auto"/>
                <w:highlight w:val="none"/>
              </w:rPr>
              <w:t xml:space="preserve">电动曲线锯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textDirection w:val="lrTb"/>
            <w:noWrap/>
          </w:tcPr>
          <w:p>
            <w:pPr>
              <w:jc w:val="center"/>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color w:val="auto"/>
                <w:highlight w:val="none"/>
              </w:rPr>
              <w:t xml:space="preserve">木工圆锯机</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textDirection w:val="lrTb"/>
            <w:noWrap/>
          </w:tcPr>
          <w:p>
            <w:pPr>
              <w:jc w:val="center"/>
              <w:rPr>
                <w:color w:val="auto"/>
                <w:highlight w:val="none"/>
              </w:rPr>
            </w:pPr>
            <w:r>
              <w:rPr>
                <w:rFonts w:hint="eastAsia"/>
                <w:color w:val="auto"/>
                <w:highlight w:val="none"/>
              </w:rPr>
              <w:t xml:space="preserve">台</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智慧教学设备2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textDirection w:val="lrTb"/>
            <w:noWrap/>
          </w:tcPr>
          <w:p>
            <w:pPr>
              <w:jc w:val="center"/>
              <w:rPr>
                <w:color w:val="auto"/>
                <w:highlight w:val="none"/>
              </w:rPr>
            </w:pPr>
            <w:r>
              <w:rPr>
                <w:rFonts w:hint="eastAsia"/>
                <w:color w:val="auto"/>
                <w:highlight w:val="none"/>
              </w:rPr>
              <w:t xml:space="preserve">套</w:t>
            </w:r>
            <w:r/>
          </w:p>
        </w:tc>
      </w:tr>
    </w:tbl>
    <w:p>
      <w:pPr>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10、园林标本室</w:t>
      </w:r>
      <w:r>
        <w:rPr>
          <w:rFonts w:hint="eastAsia"/>
          <w:color w:val="auto"/>
          <w:highlight w:val="none"/>
        </w:rPr>
        <w:t xml:space="preserve">：</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8"/>
        <w:gridCol w:w="4589"/>
        <w:gridCol w:w="1056"/>
        <w:gridCol w:w="1116"/>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固定式植物柜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固定式昆虫柜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定制收纳柜</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color w:val="auto"/>
                <w:highlight w:val="none"/>
              </w:rPr>
            </w:pPr>
            <w:r>
              <w:rPr>
                <w:rFonts w:hint="eastAsia"/>
                <w:color w:val="auto"/>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rPr>
                <w:color w:val="auto"/>
                <w:highlight w:val="none"/>
              </w:rPr>
            </w:pPr>
            <w:r>
              <w:rPr>
                <w:rFonts w:hint="eastAsia"/>
                <w:color w:val="auto"/>
                <w:highlight w:val="none"/>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ind w:firstLine="480"/>
              <w:jc w:val="center"/>
              <w:widowControl/>
              <w:rPr>
                <w:color w:val="auto"/>
                <w:highlight w:val="none"/>
              </w:rPr>
            </w:pPr>
            <w:r>
              <w:rPr>
                <w:rFonts w:hint="eastAsia"/>
                <w:color w:val="auto"/>
                <w:highlight w:val="none"/>
              </w:rPr>
              <w:t xml:space="preserve">琥珀植物标本板</w:t>
            </w:r>
            <w:r/>
          </w:p>
        </w:tc>
        <w:tc>
          <w:tcPr>
            <w:shd w:val="clear" w:color="auto" w:fill="auto"/>
            <w:tcBorders>
              <w:top w:val="single" w:color="000000" w:sz="4" w:space="0"/>
              <w:left w:val="single" w:color="000000" w:sz="4" w:space="0"/>
              <w:bottom w:val="single" w:color="000000" w:sz="4" w:space="0"/>
              <w:right w:val="single" w:color="000000" w:sz="4" w:space="0"/>
            </w:tcBorders>
            <w:tcW w:w="1056" w:type="dxa"/>
            <w:vAlign w:val="center"/>
            <w:textDirection w:val="lrTb"/>
            <w:noWrap w:val="false"/>
          </w:tcPr>
          <w:p>
            <w:pPr>
              <w:jc w:val="center"/>
              <w:widowControl/>
              <w:rPr>
                <w:color w:val="auto"/>
                <w:highlight w:val="none"/>
              </w:rPr>
            </w:pPr>
            <w:r>
              <w:rPr>
                <w:rFonts w:hint="eastAsia"/>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rPr>
                <w:color w:val="auto"/>
                <w:highlight w:val="none"/>
              </w:rPr>
            </w:pPr>
            <w:r>
              <w:rPr>
                <w:rFonts w:hint="eastAsia"/>
                <w:color w:val="auto"/>
                <w:highlight w:val="none"/>
              </w:rPr>
              <w:t xml:space="preserve">个</w:t>
            </w:r>
            <w:r/>
          </w:p>
        </w:tc>
      </w:tr>
    </w:tbl>
    <w:p>
      <w:pPr>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11、普通化学药品室</w:t>
      </w:r>
      <w:r>
        <w:rPr>
          <w:rFonts w:hint="eastAsia"/>
          <w:color w:val="auto"/>
          <w:highlight w:val="none"/>
        </w:rPr>
        <w:t xml:space="preserve">：</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8"/>
        <w:gridCol w:w="4589"/>
        <w:gridCol w:w="1080"/>
        <w:gridCol w:w="1080"/>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textDirection w:val="lrTb"/>
            <w:noWrap/>
          </w:tcPr>
          <w:p>
            <w:pPr>
              <w:jc w:val="center"/>
              <w:rPr>
                <w:color w:val="auto"/>
                <w:highlight w:val="none"/>
              </w:rPr>
            </w:pPr>
            <w:r>
              <w:rPr>
                <w:rFonts w:hint="eastAsia"/>
                <w:color w:val="auto"/>
                <w:highlight w:val="none"/>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试剂柜</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textDirection w:val="lrTb"/>
            <w:noWrap/>
          </w:tcPr>
          <w:p>
            <w:pPr>
              <w:jc w:val="center"/>
              <w:rPr>
                <w:color w:val="auto"/>
                <w:highlight w:val="none"/>
              </w:rPr>
            </w:pPr>
            <w:r>
              <w:rPr>
                <w:rFonts w:hint="eastAsia"/>
                <w:color w:val="auto"/>
                <w:highlight w:val="none"/>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防爆柜</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textDirection w:val="lrTb"/>
            <w:noWrap/>
          </w:tcPr>
          <w:p>
            <w:pPr>
              <w:jc w:val="center"/>
              <w:rPr>
                <w:color w:val="auto"/>
                <w:highlight w:val="none"/>
              </w:rPr>
            </w:pPr>
            <w:r>
              <w:rPr>
                <w:rFonts w:hint="eastAsia"/>
                <w:color w:val="auto"/>
                <w:highlight w:val="none"/>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textDirection w:val="lrTb"/>
            <w:noWrap/>
          </w:tcPr>
          <w:p>
            <w:pPr>
              <w:jc w:val="center"/>
              <w:rPr>
                <w:color w:val="auto"/>
                <w:highlight w:val="none"/>
              </w:rPr>
            </w:pPr>
            <w:r>
              <w:rPr>
                <w:rFonts w:hint="eastAsia"/>
                <w:color w:val="auto"/>
                <w:highlight w:val="none"/>
              </w:rPr>
              <w:t xml:space="preserve">个</w:t>
            </w:r>
            <w:r/>
          </w:p>
        </w:tc>
      </w:tr>
    </w:tbl>
    <w:p>
      <w:pPr>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12、园林类专业设备及耗材房</w:t>
      </w:r>
      <w:r>
        <w:rPr>
          <w:rFonts w:hint="eastAsia"/>
          <w:color w:val="auto"/>
          <w:highlight w:val="none"/>
        </w:rPr>
        <w:t xml:space="preserve">：</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8"/>
        <w:gridCol w:w="4589"/>
        <w:gridCol w:w="1068"/>
        <w:gridCol w:w="1104"/>
      </w:tblGrid>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jc w:val="center"/>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textDirection w:val="lrTb"/>
            <w:noWrap/>
          </w:tcPr>
          <w:p>
            <w:pPr>
              <w:jc w:val="center"/>
              <w:rPr>
                <w:color w:val="auto"/>
                <w:highlight w:val="none"/>
              </w:rPr>
            </w:pPr>
            <w:r>
              <w:rPr>
                <w:rFonts w:hint="eastAsia"/>
                <w:color w:val="auto"/>
                <w:highlight w:val="none"/>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电子天平秤</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textDirection w:val="lrTb"/>
            <w:noWrap/>
          </w:tcPr>
          <w:p>
            <w:pPr>
              <w:jc w:val="center"/>
              <w:rPr>
                <w:color w:val="auto"/>
                <w:highlight w:val="none"/>
              </w:rPr>
            </w:pPr>
            <w:r>
              <w:rPr>
                <w:rFonts w:hint="eastAsia"/>
                <w:color w:val="auto"/>
                <w:highlight w:val="none"/>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修枝剪</w:t>
            </w:r>
            <w:r/>
          </w:p>
        </w:tc>
        <w:tc>
          <w:tcPr>
            <w:shd w:val="clear" w:color="auto" w:fill="ffffff"/>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widowControl/>
              <w:rPr>
                <w:color w:val="auto"/>
                <w:highlight w:val="none"/>
              </w:rPr>
            </w:pPr>
            <w:r>
              <w:rPr>
                <w:rFonts w:hint="eastAsia"/>
                <w:color w:val="auto"/>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textDirection w:val="lrTb"/>
            <w:noWrap/>
          </w:tcPr>
          <w:p>
            <w:pPr>
              <w:jc w:val="center"/>
              <w:rPr>
                <w:color w:val="auto"/>
                <w:highlight w:val="none"/>
              </w:rPr>
            </w:pPr>
            <w:r>
              <w:rPr>
                <w:rFonts w:hint="eastAsia"/>
                <w:color w:val="auto"/>
                <w:highlight w:val="none"/>
              </w:rPr>
              <w:t xml:space="preserve">把</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手动喷雾器</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textDirection w:val="lrTb"/>
            <w:noWrap/>
          </w:tcPr>
          <w:p>
            <w:pPr>
              <w:jc w:val="center"/>
              <w:rPr>
                <w:color w:val="auto"/>
                <w:highlight w:val="none"/>
              </w:rPr>
            </w:pPr>
            <w:r>
              <w:rPr>
                <w:rFonts w:hint="eastAsia"/>
                <w:color w:val="auto"/>
                <w:highlight w:val="none"/>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整理箱</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textDirection w:val="lrTb"/>
            <w:noWrap/>
          </w:tcPr>
          <w:p>
            <w:pPr>
              <w:jc w:val="center"/>
              <w:rPr>
                <w:color w:val="auto"/>
                <w:highlight w:val="none"/>
              </w:rPr>
            </w:pPr>
            <w:r>
              <w:rPr>
                <w:rFonts w:hint="eastAsia"/>
                <w:color w:val="auto"/>
                <w:highlight w:val="none"/>
              </w:rPr>
              <w:t xml:space="preserve">个</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1388" w:type="dxa"/>
            <w:vAlign w:val="center"/>
            <w:textDirection w:val="lrTb"/>
            <w:noWrap/>
          </w:tcPr>
          <w:p>
            <w:pPr>
              <w:ind w:firstLine="480"/>
              <w:widowControl/>
              <w:rPr>
                <w:color w:val="auto"/>
                <w:highlight w:val="none"/>
              </w:rPr>
            </w:pPr>
            <w:r>
              <w:rPr>
                <w:rFonts w:hint="eastAsia"/>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89" w:type="dxa"/>
            <w:vAlign w:val="center"/>
            <w:textDirection w:val="lrTb"/>
            <w:noWrap w:val="false"/>
          </w:tcPr>
          <w:p>
            <w:pPr>
              <w:jc w:val="center"/>
              <w:widowControl/>
              <w:rPr>
                <w:color w:val="auto"/>
                <w:highlight w:val="none"/>
              </w:rPr>
            </w:pPr>
            <w:r>
              <w:rPr>
                <w:rFonts w:hint="eastAsia"/>
                <w:color w:val="auto"/>
                <w:highlight w:val="none"/>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widowControl/>
              <w:rPr>
                <w:color w:val="auto"/>
                <w:highlight w:val="none"/>
              </w:rPr>
            </w:pPr>
            <w:r>
              <w:rPr>
                <w:rFonts w:hint="eastAsia"/>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04" w:type="dxa"/>
            <w:textDirection w:val="lrTb"/>
            <w:noWrap/>
          </w:tcPr>
          <w:p>
            <w:pPr>
              <w:jc w:val="center"/>
              <w:rPr>
                <w:color w:val="auto"/>
                <w:highlight w:val="none"/>
              </w:rPr>
            </w:pPr>
            <w:r>
              <w:rPr>
                <w:rFonts w:hint="eastAsia"/>
                <w:color w:val="auto"/>
                <w:highlight w:val="none"/>
              </w:rPr>
              <w:t xml:space="preserve">个</w:t>
            </w:r>
            <w:r/>
          </w:p>
        </w:tc>
      </w:tr>
    </w:tbl>
    <w:p>
      <w:pPr>
        <w:rPr>
          <w:color w:val="auto"/>
          <w:highlight w:val="none"/>
        </w:rPr>
      </w:pPr>
      <w:r>
        <w:rPr>
          <w:color w:val="auto"/>
          <w:highlight w:val="none"/>
        </w:rPr>
      </w:r>
      <w:r/>
    </w:p>
    <w:p>
      <w:pPr>
        <w:ind w:firstLine="440"/>
        <w:jc w:val="both"/>
        <w:spacing w:line="360" w:lineRule="auto"/>
        <w:rPr>
          <w:color w:val="auto"/>
          <w:highlight w:val="none"/>
        </w:rPr>
      </w:pPr>
      <w:r>
        <w:rPr>
          <w:color w:val="auto"/>
          <w:highlight w:val="none"/>
        </w:rPr>
        <w:t xml:space="preserve">13、环境类耗材设备间</w:t>
      </w:r>
      <w:r>
        <w:rPr>
          <w:rFonts w:hint="eastAsia"/>
          <w:color w:val="auto"/>
          <w:highlight w:val="none"/>
        </w:rPr>
        <w:t xml:space="preserve">：</w:t>
      </w:r>
      <w:r/>
    </w:p>
    <w:tbl>
      <w:tblPr>
        <w:tblStyle w:val="869"/>
        <w:tblW w:w="0" w:type="auto"/>
        <w:tblInd w:w="96" w:type="dxa"/>
        <w:tblLayout w:type="fixed"/>
        <w:tblCellMar>
          <w:left w:w="108" w:type="dxa"/>
          <w:top w:w="0" w:type="dxa"/>
          <w:right w:w="108" w:type="dxa"/>
          <w:bottom w:w="0" w:type="dxa"/>
        </w:tblCellMar>
        <w:tblLook w:val="04A0" w:firstRow="1" w:lastRow="0" w:firstColumn="1" w:lastColumn="0" w:noHBand="0" w:noVBand="1"/>
      </w:tblPr>
      <w:tblGrid>
        <w:gridCol w:w="1385"/>
        <w:gridCol w:w="4568"/>
        <w:gridCol w:w="1080"/>
        <w:gridCol w:w="1116"/>
      </w:tblGrid>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jc w:val="center"/>
              <w:widowControl/>
              <w:rPr>
                <w:color w:val="auto"/>
                <w:highlight w:val="none"/>
              </w:rPr>
            </w:pPr>
            <w:r>
              <w:rPr>
                <w:rFonts w:hint="eastAsia"/>
                <w:b/>
                <w:bCs/>
                <w:color w:val="auto"/>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b/>
                <w:bCs/>
                <w:color w:val="auto"/>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vAlign w:val="center"/>
            <w:textDirection w:val="lrTb"/>
            <w:noWrap/>
          </w:tcPr>
          <w:p>
            <w:pPr>
              <w:jc w:val="center"/>
              <w:widowControl/>
              <w:rPr>
                <w:color w:val="auto"/>
                <w:highlight w:val="none"/>
              </w:rPr>
            </w:pPr>
            <w:r>
              <w:rPr>
                <w:rFonts w:hint="eastAsia" w:asciiTheme="minorEastAsia" w:hAnsiTheme="minorEastAsia" w:eastAsiaTheme="minorEastAsia"/>
                <w:color w:val="auto"/>
                <w:sz w:val="21"/>
                <w:szCs w:val="21"/>
                <w:highlight w:val="none"/>
                <w:lang w:bidi="ar"/>
              </w:rPr>
              <w:t xml:space="preserve">★</w:t>
            </w:r>
            <w:r>
              <w:rPr>
                <w:rFonts w:hint="eastAsia"/>
                <w:color w:val="auto"/>
                <w:highlight w:val="none"/>
                <w:lang w:bidi="ar"/>
              </w:rPr>
              <w:t xml:space="preserve">单位</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rPr>
            </w:pPr>
            <w:r>
              <w:rPr>
                <w:rFonts w:hint="eastAsia"/>
                <w:color w:val="auto"/>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hint="eastAsia"/>
                <w:color w:val="auto"/>
                <w:highlight w:val="none"/>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rPr>
                <w:color w:val="auto"/>
                <w:highlight w:val="none"/>
                <w:lang w:bidi="ar"/>
              </w:rPr>
            </w:pPr>
            <w:r>
              <w:rPr>
                <w:rFonts w:hint="eastAsia"/>
                <w:color w:val="auto"/>
                <w:highlight w:val="none"/>
                <w:lang w:bidi="ar"/>
              </w:rPr>
              <w:t xml:space="preserve">个</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hint="eastAsia"/>
                <w:color w:val="auto"/>
                <w:highlight w:val="none"/>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rPr>
                <w:color w:val="auto"/>
                <w:highlight w:val="none"/>
                <w:lang w:bidi="ar"/>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hint="eastAsia"/>
                <w:color w:val="auto"/>
                <w:highlight w:val="none"/>
              </w:rPr>
              <w:t xml:space="preserve">烧杯50ml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hint="eastAsia"/>
                <w:color w:val="auto"/>
                <w:highlight w:val="none"/>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烧杯100mL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烧杯250mL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color w:val="auto"/>
                <w:highlight w:val="none"/>
              </w:rPr>
              <w:t xml:space="preserve">烧杯500mL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烧杯1L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烧杯2L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rFonts w:ascii="Times New Roman" w:hAnsi="Times New Roman" w:cs="Times New Roman"/>
                <w:color w:val="auto"/>
                <w:highlight w:val="none"/>
              </w:rPr>
            </w:pPr>
            <w:r>
              <w:rPr>
                <w:rFonts w:hint="eastAsia" w:ascii="Times New Roman" w:hAnsi="Times New Roman" w:cs="Times New Roman"/>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烧杯5L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rFonts w:ascii="Times New Roman" w:hAnsi="Times New Roman" w:cs="Times New Roman"/>
                <w:color w:val="auto"/>
                <w:highlight w:val="none"/>
              </w:rPr>
            </w:pPr>
            <w:r>
              <w:rPr>
                <w:rFonts w:hint="eastAsia" w:ascii="Times New Roman" w:hAnsi="Times New Roman" w:cs="Times New Roman"/>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锥形瓶250mL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容量瓶50mL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容量瓶100mL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容量瓶200mL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容量瓶1000mL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容量瓶2000mL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移液管1mL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移液管2mL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移液管5mL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移液管10mL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比色管</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洗瓶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称量瓶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color w:val="auto"/>
                <w:highlight w:val="none"/>
              </w:rPr>
              <w:t xml:space="preserve">聚四氟酸碱滴定管50mL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color w:val="auto"/>
                <w:highlight w:val="none"/>
                <w:lang w:bidi="ar"/>
              </w:rPr>
            </w:pPr>
            <w:r>
              <w:rPr>
                <w:rFonts w:ascii="Times New Roman" w:hAnsi="Times New Roman" w:cs="Times New Roman"/>
                <w:color w:val="auto"/>
                <w:highlight w:val="none"/>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color w:val="auto"/>
                <w:highlight w:val="none"/>
              </w:rPr>
            </w:pPr>
            <w:r>
              <w:rPr>
                <w:color w:val="auto"/>
                <w:highlight w:val="none"/>
              </w:rPr>
              <w:t xml:space="preserve">石英比色皿10mm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铁架台+蝴蝶夹</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灭火毯2m×2m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溶解氧瓶250mL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碘量瓶250mL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量筒10mL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量筒50mL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量筒100mL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量筒200mL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量筒500mL</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lang w:bidi="ar"/>
              </w:rPr>
              <w:t xml:space="preserve">个</w:t>
            </w:r>
            <w:r/>
          </w:p>
        </w:tc>
      </w:tr>
      <w:tr>
        <w:trPr>
          <w:trHeight w:val="50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高型称量瓶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rFonts w:hint="eastAsia"/>
                <w:color w:val="auto"/>
                <w:highlight w:val="none"/>
              </w:rPr>
              <w:t xml:space="preserve">个</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1385" w:type="dxa"/>
            <w:vAlign w:val="center"/>
            <w:textDirection w:val="lrTb"/>
            <w:noWrap/>
          </w:tcPr>
          <w:p>
            <w:pPr>
              <w:ind w:firstLine="480"/>
              <w:widowControl/>
              <w:rPr>
                <w:rFonts w:ascii="Times New Roman" w:hAnsi="Times New Roman" w:cs="Times New Roman"/>
                <w:color w:val="auto"/>
                <w:highlight w:val="none"/>
                <w:lang w:bidi="ar"/>
              </w:rPr>
            </w:pPr>
            <w:r>
              <w:rPr>
                <w:rFonts w:ascii="Times New Roman" w:hAnsi="Times New Roman" w:cs="Times New Roman"/>
                <w:color w:val="auto"/>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568" w:type="dxa"/>
            <w:vAlign w:val="center"/>
            <w:textDirection w:val="lrTb"/>
            <w:noWrap w:val="false"/>
          </w:tcPr>
          <w:p>
            <w:pPr>
              <w:jc w:val="center"/>
              <w:widowControl/>
              <w:rPr>
                <w:rFonts w:ascii="Times New Roman" w:hAnsi="Times New Roman" w:cs="Times New Roman"/>
                <w:color w:val="auto"/>
                <w:highlight w:val="none"/>
              </w:rPr>
            </w:pPr>
            <w:r>
              <w:rPr>
                <w:rFonts w:ascii="Times New Roman" w:hAnsi="Times New Roman" w:cs="Times New Roman"/>
                <w:color w:val="auto"/>
                <w:highlight w:val="none"/>
              </w:rPr>
              <w:t xml:space="preserve">扁形称量瓶</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color w:val="auto"/>
                <w:highlight w:val="none"/>
              </w:rPr>
            </w:pPr>
            <w:r>
              <w:rPr>
                <w:color w:val="auto"/>
                <w:highlight w:val="none"/>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16" w:type="dxa"/>
            <w:textDirection w:val="lrTb"/>
            <w:noWrap/>
          </w:tcPr>
          <w:p>
            <w:pPr>
              <w:jc w:val="center"/>
              <w:widowControl/>
              <w:rPr>
                <w:color w:val="auto"/>
                <w:highlight w:val="none"/>
              </w:rPr>
            </w:pPr>
            <w:r>
              <w:rPr>
                <w:color w:val="auto"/>
                <w:highlight w:val="none"/>
              </w:rPr>
              <w:t xml:space="preserve">个</w:t>
            </w:r>
            <w:r/>
          </w:p>
        </w:tc>
      </w:tr>
    </w:tbl>
    <w:p>
      <w:pPr>
        <w:rPr>
          <w:color w:val="auto"/>
          <w:highlight w:val="none"/>
          <w:lang w:val="en-US" w:bidi="ar"/>
        </w:rPr>
      </w:pPr>
      <w:r>
        <w:rPr>
          <w:color w:val="auto"/>
          <w:highlight w:val="none"/>
          <w:lang w:val="en-US" w:bidi="ar"/>
        </w:rPr>
      </w:r>
      <w:r/>
    </w:p>
    <w:p>
      <w:pPr>
        <w:rPr>
          <w:color w:val="auto"/>
          <w:sz w:val="24"/>
          <w:szCs w:val="24"/>
          <w:highlight w:val="none"/>
        </w:rPr>
      </w:pPr>
      <w:r>
        <w:rPr>
          <w:rFonts w:hint="eastAsia"/>
          <w:color w:val="auto"/>
          <w:highlight w:val="none"/>
          <w:lang w:val="en-US" w:bidi="ar"/>
        </w:rPr>
        <w:t xml:space="preserve">（二）</w:t>
      </w:r>
      <w:r>
        <w:rPr>
          <w:rFonts w:hint="eastAsia"/>
          <w:color w:val="auto"/>
          <w:highlight w:val="none"/>
          <w:lang w:val="en-US" w:bidi="ar"/>
        </w:rPr>
        <w:t xml:space="preserve">采购设备详细参数</w:t>
      </w:r>
      <w:r/>
    </w:p>
    <w:tbl>
      <w:tblPr>
        <w:tblStyle w:val="869"/>
        <w:tblW w:w="10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7796"/>
      </w:tblGrid>
      <w:tr>
        <w:trPr>
          <w:trHeight w:val="90"/>
          <w:tblHeader/>
        </w:trPr>
        <w:tc>
          <w:tcPr>
            <w:tcW w:w="704" w:type="dxa"/>
            <w:vAlign w:val="center"/>
            <w:textDirection w:val="lrTb"/>
            <w:noWrap w:val="false"/>
          </w:tcPr>
          <w:p>
            <w:pPr>
              <w:widowControl/>
              <w:rPr>
                <w:rFonts w:ascii="Times New Roman" w:hAnsi="Times New Roman"/>
                <w:b/>
                <w:bCs/>
                <w:color w:val="auto"/>
                <w:szCs w:val="21"/>
                <w:highlight w:val="none"/>
              </w:rPr>
            </w:pPr>
            <w:r>
              <w:rPr>
                <w:rFonts w:hint="eastAsia" w:ascii="Times New Roman" w:hAnsi="Times New Roman"/>
                <w:b/>
                <w:bCs/>
                <w:color w:val="auto"/>
                <w:szCs w:val="21"/>
                <w:highlight w:val="none"/>
                <w:lang w:bidi="ar"/>
              </w:rPr>
              <w:t xml:space="preserve">序号</w:t>
            </w:r>
            <w:r/>
          </w:p>
        </w:tc>
        <w:tc>
          <w:tcPr>
            <w:tcW w:w="1701" w:type="dxa"/>
            <w:vAlign w:val="center"/>
            <w:textDirection w:val="lrTb"/>
            <w:noWrap w:val="false"/>
          </w:tcPr>
          <w:p>
            <w:pPr>
              <w:widowControl/>
              <w:rPr>
                <w:rFonts w:ascii="Times New Roman" w:hAnsi="Times New Roman"/>
                <w:b/>
                <w:bCs/>
                <w:color w:val="auto"/>
                <w:szCs w:val="21"/>
                <w:highlight w:val="none"/>
              </w:rPr>
            </w:pPr>
            <w:r>
              <w:rPr>
                <w:rFonts w:hint="eastAsia" w:ascii="Times New Roman" w:hAnsi="Times New Roman"/>
                <w:b/>
                <w:bCs/>
                <w:color w:val="auto"/>
                <w:szCs w:val="21"/>
                <w:highlight w:val="none"/>
                <w:lang w:bidi="ar"/>
              </w:rPr>
              <w:t xml:space="preserve">设备名称</w:t>
            </w:r>
            <w:r/>
          </w:p>
        </w:tc>
        <w:tc>
          <w:tcPr>
            <w:tcW w:w="7796" w:type="dxa"/>
            <w:vAlign w:val="center"/>
            <w:textDirection w:val="lrTb"/>
            <w:noWrap w:val="false"/>
          </w:tcPr>
          <w:p>
            <w:pPr>
              <w:contextualSpacing/>
              <w:jc w:val="center"/>
              <w:widowControl/>
              <w:rPr>
                <w:rFonts w:ascii="Times New Roman" w:hAnsi="Times New Roman"/>
                <w:b/>
                <w:bCs/>
                <w:color w:val="auto"/>
                <w:szCs w:val="21"/>
                <w:highlight w:val="none"/>
              </w:rPr>
            </w:pPr>
            <w:r>
              <w:rPr>
                <w:rFonts w:hint="eastAsia" w:ascii="Times New Roman" w:hAnsi="Times New Roman"/>
                <w:b/>
                <w:bCs/>
                <w:color w:val="auto"/>
                <w:szCs w:val="21"/>
                <w:highlight w:val="none"/>
                <w:lang w:bidi="ar"/>
              </w:rPr>
              <w:t xml:space="preserve">技术性能要求</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w:t>
            </w:r>
            <w:r/>
          </w:p>
        </w:tc>
        <w:tc>
          <w:tcPr>
            <w:tcW w:w="1701" w:type="dxa"/>
            <w:vAlign w:val="center"/>
            <w:textDirection w:val="lrTb"/>
            <w:noWrap w:val="false"/>
          </w:tcPr>
          <w:p>
            <w:pPr>
              <w:widowControl/>
              <w:rPr>
                <w:color w:val="auto"/>
                <w:highlight w:val="none"/>
              </w:rPr>
            </w:pPr>
            <w:r/>
            <w:bookmarkStart w:id="26" w:name="OLE_LINK30"/>
            <w:r/>
            <w:bookmarkStart w:id="27" w:name="OLE_LINK37"/>
            <w:r>
              <w:rPr>
                <w:rFonts w:hint="eastAsia"/>
                <w:color w:val="auto"/>
                <w:highlight w:val="none"/>
              </w:rPr>
              <w:t xml:space="preserve">智慧教学设备</w:t>
            </w:r>
            <w:bookmarkEnd w:id="26"/>
            <w:r/>
            <w:bookmarkEnd w:id="27"/>
            <w:r>
              <w:rPr>
                <w:rFonts w:hint="eastAsia"/>
                <w:color w:val="auto"/>
                <w:highlight w:val="none"/>
              </w:rPr>
              <w:t xml:space="preserve">1</w:t>
            </w:r>
            <w:r/>
          </w:p>
        </w:tc>
        <w:tc>
          <w:tcPr>
            <w:tcW w:w="7796" w:type="dxa"/>
            <w:vAlign w:val="center"/>
            <w:textDirection w:val="lrTb"/>
            <w:noWrap w:val="false"/>
          </w:tcPr>
          <w:p>
            <w:pPr>
              <w:numPr>
                <w:ilvl w:val="0"/>
                <w:numId w:val="22"/>
              </w:numPr>
              <w:contextualSpacing/>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显示设备</w:t>
            </w:r>
            <w:r/>
          </w:p>
          <w:p>
            <w:pPr>
              <w:contextualSpacing/>
              <w:rPr>
                <w:rFonts w:asciiTheme="minorEastAsia" w:hAnsiTheme="minorEastAsia" w:eastAsiaTheme="minorEastAsia"/>
                <w:b/>
                <w:color w:val="auto"/>
                <w:sz w:val="21"/>
                <w:szCs w:val="21"/>
                <w:highlight w:val="none"/>
                <w:lang w:bidi="ar"/>
              </w:rPr>
            </w:pPr>
            <w:r>
              <w:rPr>
                <w:rFonts w:hint="eastAsia" w:asciiTheme="minorEastAsia" w:hAnsiTheme="minorEastAsia" w:eastAsiaTheme="minorEastAsia"/>
                <w:b/>
                <w:color w:val="auto"/>
                <w:sz w:val="21"/>
                <w:szCs w:val="21"/>
                <w:highlight w:val="none"/>
                <w:lang w:bidi="ar"/>
              </w:rPr>
              <w:t xml:space="preserve">整机设计要求：</w:t>
            </w:r>
            <w:r/>
          </w:p>
          <w:p>
            <w:pPr>
              <w:pStyle w:val="860"/>
              <w:contextualSpacing/>
              <w:ind w:left="0"/>
              <w:tabs>
                <w:tab w:val="left" w:pos="432" w:leader="none"/>
                <w:tab w:val="left" w:pos="575" w:leader="none"/>
              </w:tabs>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1、屏幕尺寸（对角线）≥86英寸，显示比例16:9，亮度≥350cd/m2，对比度≥4000：1，刷新率60Hz，可视角度≥178°，分辨率3840×2160，屏幕显示灰度等级≥1024灰阶。</w:t>
            </w:r>
            <w:r/>
          </w:p>
          <w:p>
            <w:pPr>
              <w:contextualSpacing/>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2、外观设计：三边无边框，全面屏设计。</w:t>
            </w:r>
            <w:r/>
          </w:p>
          <w:p>
            <w:pP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lang w:val="en-US" w:bidi="ar"/>
              </w:rPr>
              <w:t xml:space="preserve">3</w:t>
            </w:r>
            <w:r>
              <w:rPr>
                <w:rFonts w:hint="eastAsia" w:asciiTheme="minorEastAsia" w:hAnsiTheme="minorEastAsia" w:eastAsiaTheme="minorEastAsia"/>
                <w:color w:val="auto"/>
                <w:sz w:val="21"/>
                <w:szCs w:val="21"/>
                <w:highlight w:val="none"/>
              </w:rPr>
              <w:t xml:space="preserve">、屏幕具备防眩光功能，表面雾度</w:t>
            </w:r>
            <w:r>
              <w:rPr>
                <w:rFonts w:asciiTheme="minorEastAsia" w:hAnsiTheme="minorEastAsia" w:eastAsiaTheme="minorEastAsia"/>
                <w:color w:val="auto"/>
                <w:sz w:val="21"/>
                <w:szCs w:val="21"/>
                <w:highlight w:val="none"/>
              </w:rPr>
              <w:t xml:space="preserve">25%，防止由于室内灯光及室外光线对屏幕的产生反光现象，，同时减少由于长时间观看屏幕产生眼睛疲劳感。</w:t>
            </w:r>
            <w:r/>
          </w:p>
          <w:p>
            <w:pPr>
              <w:contextualSpacing/>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bidi="ar"/>
              </w:rPr>
              <w:t xml:space="preserve">4、</w:t>
            </w:r>
            <w:r>
              <w:rPr>
                <w:rFonts w:hint="eastAsia" w:asciiTheme="minorEastAsia" w:hAnsiTheme="minorEastAsia" w:eastAsiaTheme="minorEastAsia"/>
                <w:color w:val="auto"/>
                <w:sz w:val="21"/>
                <w:szCs w:val="21"/>
                <w:highlight w:val="none"/>
              </w:rPr>
              <w:t xml:space="preserve">整机输入端子：RJ45≥1路、</w:t>
            </w:r>
            <w:r>
              <w:rPr>
                <w:rFonts w:hint="eastAsia" w:asciiTheme="minorEastAsia" w:hAnsiTheme="minorEastAsia" w:eastAsiaTheme="minorEastAsia"/>
                <w:color w:val="auto"/>
                <w:sz w:val="21"/>
                <w:szCs w:val="21"/>
                <w:highlight w:val="none"/>
                <w:lang w:bidi="ar"/>
              </w:rPr>
              <w:t xml:space="preserve">USB3.0≥1路、USB2.0≥1路、非扩展HDMI IN≥2路、SPDIF OUT≥1路、Type-C≥1路、RS232≥1路。支持外接中控系统控制整机。</w:t>
            </w:r>
            <w:r/>
          </w:p>
          <w:p>
            <w:pPr>
              <w:pStyle w:val="860"/>
              <w:contextualSpacing/>
              <w:ind w:left="0"/>
              <w:tabs>
                <w:tab w:val="left" w:pos="432" w:leader="none"/>
                <w:tab w:val="left" w:pos="575" w:leader="none"/>
              </w:tabs>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5、支持使用遥控器和实体电源键开机，且开机无任何广告。</w:t>
            </w:r>
            <w:r/>
          </w:p>
          <w:p>
            <w:pPr>
              <w:contextualSpacing/>
              <w:rPr>
                <w:rFonts w:asciiTheme="minorEastAsia" w:hAnsiTheme="minorEastAsia" w:eastAsiaTheme="minorEastAsia"/>
                <w:b/>
                <w:color w:val="auto"/>
                <w:sz w:val="21"/>
                <w:szCs w:val="21"/>
                <w:highlight w:val="none"/>
                <w:lang w:bidi="ar"/>
              </w:rPr>
            </w:pPr>
            <w:r>
              <w:rPr>
                <w:rFonts w:hint="eastAsia" w:asciiTheme="minorEastAsia" w:hAnsiTheme="minorEastAsia" w:eastAsiaTheme="minorEastAsia"/>
                <w:b/>
                <w:color w:val="auto"/>
                <w:sz w:val="21"/>
                <w:szCs w:val="21"/>
                <w:highlight w:val="none"/>
                <w:lang w:bidi="ar"/>
              </w:rPr>
              <w:t xml:space="preserve">嵌入式系统功能配置：</w:t>
            </w:r>
            <w:r/>
          </w:p>
          <w:p>
            <w:pPr>
              <w:contextualSpacing/>
              <w:widowControl/>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★1、系统配置：系统版本≥Android 11.0，内存（RAM）≥3G，存储空间（ROM）≥32G。</w:t>
            </w:r>
            <w:r/>
          </w:p>
          <w:p>
            <w:pPr>
              <w:contextualSpacing/>
              <w:widowControl/>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2、HDMI设备控制：支持智屏跟随HDMI设备进行开机，智屏跟随HDMI设备进行待机，HDMI设备跟随智屏待机。  </w:t>
            </w:r>
            <w:r/>
          </w:p>
          <w:p>
            <w:pPr>
              <w:contextualSpacing/>
              <w:rPr>
                <w:rFonts w:asciiTheme="minorEastAsia" w:hAnsiTheme="minorEastAsia" w:eastAsiaTheme="minorEastAsia"/>
                <w:b/>
                <w:color w:val="auto"/>
                <w:sz w:val="21"/>
                <w:szCs w:val="21"/>
                <w:highlight w:val="none"/>
                <w:lang w:bidi="ar"/>
              </w:rPr>
            </w:pPr>
            <w:r>
              <w:rPr>
                <w:rFonts w:hint="eastAsia" w:asciiTheme="minorEastAsia" w:hAnsiTheme="minorEastAsia" w:eastAsiaTheme="minorEastAsia"/>
                <w:b/>
                <w:color w:val="auto"/>
                <w:sz w:val="21"/>
                <w:szCs w:val="21"/>
                <w:highlight w:val="none"/>
                <w:lang w:bidi="ar"/>
              </w:rPr>
              <w:t xml:space="preserve">嵌入式系统投屏功能</w:t>
            </w:r>
            <w:r/>
          </w:p>
          <w:p>
            <w:pPr>
              <w:contextualSpacing/>
              <w:widowControl/>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1、支持基于HDMI 物理线缆实现电脑终端有线投屏。</w:t>
            </w:r>
            <w:r/>
          </w:p>
          <w:p>
            <w:pPr>
              <w:contextualSpacing/>
              <w:widowControl/>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2、内置无线传屏接收端，无需外接接收部件，无线传屏发射器与整机匹配后即可实现传屏功能，将外部电脑（Windows , Mac Os及国产操作系统）、手机、PAD的屏幕画面及声音通过无线方式传输到整机上显示及播放。支持在加密模式下实现点对点投屏，保证投屏不受其它设备的干扰和数据安全。</w:t>
            </w:r>
            <w:r/>
          </w:p>
          <w:p>
            <w:pPr>
              <w:contextualSpacing/>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3</w:t>
            </w: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整机支持至少11种投屏方式，Android客户端投屏、iOS客户端投屏、Windows客户端投屏、MacOS客户端投屏、Airpaly投屏、DLNA投屏、Miracast投屏、Chromecast投屏、Webcast投屏、USB投屏器投屏及Type-C投屏器投屏。</w:t>
            </w:r>
            <w:r>
              <w:rPr>
                <w:rFonts w:hint="eastAsia" w:asciiTheme="minorEastAsia" w:hAnsiTheme="minorEastAsia" w:eastAsiaTheme="minorEastAsia"/>
                <w:color w:val="auto"/>
                <w:sz w:val="21"/>
                <w:szCs w:val="21"/>
                <w:highlight w:val="none"/>
              </w:rPr>
              <w:t xml:space="preserve">该条款具体限制性和指向性，主流投屏方式为：</w:t>
            </w:r>
            <w:r>
              <w:rPr>
                <w:rFonts w:asciiTheme="minorEastAsia" w:hAnsiTheme="minorEastAsia" w:eastAsiaTheme="minorEastAsia"/>
                <w:color w:val="auto"/>
                <w:sz w:val="21"/>
                <w:szCs w:val="21"/>
                <w:highlight w:val="none"/>
              </w:rPr>
              <w:t xml:space="preserve"> Android客户端投屏、iOS客户端投屏、Windows客户端投屏、MacOS客户端投屏、USB投屏器投屏。</w:t>
            </w:r>
            <w:r/>
          </w:p>
          <w:p>
            <w:pPr>
              <w:pStyle w:val="860"/>
              <w:contextualSpacing/>
              <w:ind w:left="0"/>
              <w:tabs>
                <w:tab w:val="left" w:pos="432" w:leader="none"/>
                <w:tab w:val="left" w:pos="575"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集控管理平台</w:t>
            </w:r>
            <w:r/>
          </w:p>
          <w:p>
            <w:pPr>
              <w:contextualSpacing/>
              <w:widowControl/>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rPr>
              <w:t xml:space="preserve">1、集</w:t>
            </w:r>
            <w:r>
              <w:rPr>
                <w:rFonts w:hint="eastAsia" w:asciiTheme="minorEastAsia" w:hAnsiTheme="minorEastAsia" w:eastAsiaTheme="minorEastAsia"/>
                <w:color w:val="auto"/>
                <w:sz w:val="21"/>
                <w:szCs w:val="21"/>
                <w:highlight w:val="none"/>
                <w:lang w:bidi="ar"/>
              </w:rPr>
              <w:t xml:space="preserve">控管理平台支持B/S、C/S架构，可根据用户需求实现本地部署或云端部署；</w:t>
            </w:r>
            <w:r/>
          </w:p>
          <w:p>
            <w:pPr>
              <w:contextualSpacing/>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bidi="ar"/>
              </w:rPr>
              <w:t xml:space="preserve">2、提供远程控制、设备管理功能，实时采集设备运行数据，分析设备使用、分布情况。</w:t>
            </w:r>
            <w:r/>
          </w:p>
          <w:p>
            <w:pPr>
              <w:contextualSpacing/>
              <w:widowControl/>
              <w:rPr>
                <w:rFonts w:asciiTheme="minorEastAsia" w:hAnsiTheme="minorEastAsia" w:eastAsiaTheme="minorEastAsia"/>
                <w:bCs/>
                <w:color w:val="auto"/>
                <w:sz w:val="21"/>
                <w:szCs w:val="21"/>
                <w:highlight w:val="none"/>
              </w:rPr>
            </w:pPr>
            <w:r>
              <w:rPr>
                <w:rFonts w:hint="eastAsia" w:asciiTheme="minorEastAsia" w:hAnsiTheme="minorEastAsia" w:eastAsiaTheme="minorEastAsia"/>
                <w:bCs/>
                <w:color w:val="auto"/>
                <w:sz w:val="21"/>
                <w:szCs w:val="21"/>
                <w:highlight w:val="none"/>
              </w:rPr>
              <w:t xml:space="preserve">二、配书写黑板：</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整体结构：由一块安装于一体机侧面的固定黑板组成，整体包边。</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整体尺寸：4000*1200mm（可根据现场情况进行调整）。</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黑板材质：</w:t>
            </w:r>
            <w:r/>
          </w:p>
          <w:p>
            <w:pP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1、面板、背板、夹层：</w:t>
            </w:r>
            <w:r/>
          </w:p>
          <w:p>
            <w:pPr>
              <w:rPr>
                <w:rFonts w:asciiTheme="minorEastAsia" w:hAnsiTheme="minorEastAsia" w:eastAsiaTheme="minorEastAsia"/>
                <w:color w:val="auto"/>
                <w:sz w:val="21"/>
                <w:szCs w:val="21"/>
                <w:highlight w:val="none"/>
              </w:rPr>
            </w:pPr>
            <w:r/>
            <w:bookmarkStart w:id="28" w:name="OLE_LINK20"/>
            <w:r/>
            <w:bookmarkStart w:id="29" w:name="OLE_LINK21"/>
            <w:r>
              <w:rPr>
                <w:rFonts w:hint="eastAsia" w:asciiTheme="minorEastAsia" w:hAnsiTheme="minorEastAsia" w:eastAsiaTheme="minorEastAsia"/>
                <w:color w:val="auto"/>
                <w:sz w:val="21"/>
                <w:szCs w:val="21"/>
                <w:highlight w:val="none"/>
              </w:rPr>
              <w:t xml:space="preserve">▲</w:t>
            </w:r>
            <w:bookmarkEnd w:id="28"/>
            <w:r/>
            <w:bookmarkEnd w:id="29"/>
            <w:r>
              <w:rPr>
                <w:rFonts w:hint="eastAsia" w:asciiTheme="minorEastAsia" w:hAnsiTheme="minorEastAsia" w:eastAsiaTheme="minorEastAsia"/>
                <w:color w:val="auto"/>
                <w:sz w:val="21"/>
                <w:szCs w:val="21"/>
                <w:highlight w:val="none"/>
              </w:rPr>
              <w:t xml:space="preserve">（1）书写面板采用搪瓷面板，覆有透明保护膜，整块无拼接，厚度≥</w:t>
            </w:r>
            <w:r>
              <w:rPr>
                <w:rFonts w:asciiTheme="minorEastAsia" w:hAnsiTheme="minorEastAsia" w:eastAsiaTheme="minorEastAsia"/>
                <w:color w:val="auto"/>
                <w:sz w:val="21"/>
                <w:szCs w:val="21"/>
                <w:highlight w:val="none"/>
              </w:rPr>
              <w:t xml:space="preserve">0.4mm，表面硬度达到莫氏6度，书写性和擦拭性符合GB/T37773-2019《书写板钢板搪瓷》标准（提供具有CMA标识的第三方检测机构出具的检测报告复印件并加盖公章）。</w:t>
            </w:r>
            <w:r/>
          </w:p>
          <w:p>
            <w:pPr>
              <w:rPr>
                <w:rFonts w:asciiTheme="minorEastAsia" w:hAnsiTheme="minorEastAsia" w:eastAsiaTheme="minorEastAsia"/>
                <w:strike/>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）夹层采用聚苯乙烯板，软硬适中，厚度为≥</w:t>
            </w:r>
            <w:r>
              <w:rPr>
                <w:rFonts w:asciiTheme="minorEastAsia" w:hAnsiTheme="minorEastAsia" w:eastAsiaTheme="minorEastAsia"/>
                <w:color w:val="auto"/>
                <w:sz w:val="21"/>
                <w:szCs w:val="21"/>
                <w:highlight w:val="none"/>
              </w:rPr>
              <w:t xml:space="preserve">14mm，平整不变形，整张无拼接；</w:t>
            </w:r>
            <w:r/>
          </w:p>
          <w:p>
            <w:pPr>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rPr>
              <w:t xml:space="preserve">（3）背板采用整块防锈镀锌板，厚度≥</w:t>
            </w:r>
            <w:r>
              <w:rPr>
                <w:rFonts w:asciiTheme="minorEastAsia" w:hAnsiTheme="minorEastAsia" w:eastAsiaTheme="minorEastAsia"/>
                <w:color w:val="auto"/>
                <w:sz w:val="21"/>
                <w:szCs w:val="21"/>
                <w:highlight w:val="none"/>
              </w:rPr>
              <w:t xml:space="preserve">0.20mm，与面板、夹层用自动生产线高压一次成型，粘合牢固耐冲击，防水防锈，板面平整不开胶。符合GB 28231-2011《书写板安全卫生要求》以及GB/T 6739-2022《色漆和清漆 铅笔法测定漆膜硬度》的标准要求。</w:t>
            </w:r>
            <w:r/>
          </w:p>
          <w:p>
            <w:pP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hint="eastAsia" w:asciiTheme="minorEastAsia" w:hAnsiTheme="minorEastAsia" w:eastAsiaTheme="minorEastAsia"/>
                <w:color w:val="auto"/>
                <w:sz w:val="21"/>
                <w:szCs w:val="21"/>
                <w:highlight w:val="none"/>
                <w:lang w:bidi="ar"/>
              </w:rPr>
              <w:t xml:space="preserve">（4）黑板本体的甲醛释放量、总挥发性有机合化物（TVOC)等指标符合GB/T 35607-2</w:t>
            </w:r>
            <w:r>
              <w:rPr>
                <w:rFonts w:hint="eastAsia" w:asciiTheme="minorEastAsia" w:hAnsiTheme="minorEastAsia" w:eastAsiaTheme="minorEastAsia"/>
                <w:color w:val="auto"/>
                <w:sz w:val="21"/>
                <w:szCs w:val="21"/>
                <w:highlight w:val="none"/>
                <w:lang w:val="en-US" w:bidi="ar"/>
              </w:rPr>
              <w:t xml:space="preserve">024</w:t>
            </w:r>
            <w:r>
              <w:rPr>
                <w:rFonts w:hint="eastAsia" w:asciiTheme="minorEastAsia" w:hAnsiTheme="minorEastAsia" w:eastAsiaTheme="minorEastAsia"/>
                <w:color w:val="auto"/>
                <w:sz w:val="21"/>
                <w:szCs w:val="21"/>
                <w:highlight w:val="none"/>
                <w:lang w:bidi="ar"/>
              </w:rPr>
              <w:t xml:space="preserve">《绿色产品评价家具》标准要</w:t>
            </w:r>
            <w:r>
              <w:rPr>
                <w:rFonts w:hint="eastAsia" w:asciiTheme="minorEastAsia" w:hAnsiTheme="minorEastAsia" w:eastAsiaTheme="minorEastAsia"/>
                <w:color w:val="auto"/>
                <w:sz w:val="21"/>
                <w:szCs w:val="21"/>
                <w:highlight w:val="none"/>
                <w:lang w:val="en-US" w:bidi="ar"/>
              </w:rPr>
              <w:t xml:space="preserve">求并提供检测报告</w:t>
            </w:r>
            <w:r>
              <w:rPr>
                <w:rFonts w:hint="eastAsia" w:asciiTheme="minorEastAsia" w:hAnsiTheme="minorEastAsia" w:eastAsiaTheme="minorEastAsia"/>
                <w:color w:val="auto"/>
                <w:sz w:val="21"/>
                <w:szCs w:val="21"/>
                <w:highlight w:val="none"/>
              </w:rPr>
              <w:t xml:space="preserve">。</w:t>
            </w:r>
            <w:bookmarkStart w:id="30" w:name="OLE_LINK61"/>
            <w:r/>
            <w:bookmarkStart w:id="31" w:name="OLE_LINK60"/>
            <w:r>
              <w:rPr>
                <w:rFonts w:hint="eastAsia" w:asciiTheme="minorEastAsia" w:hAnsiTheme="minorEastAsia" w:eastAsiaTheme="minorEastAsia"/>
                <w:color w:val="auto"/>
                <w:sz w:val="21"/>
                <w:szCs w:val="21"/>
                <w:highlight w:val="none"/>
                <w:lang w:bidi="ar"/>
              </w:rPr>
              <w:t xml:space="preserve">（提供具有</w:t>
            </w:r>
            <w:r>
              <w:rPr>
                <w:rFonts w:asciiTheme="minorEastAsia" w:hAnsiTheme="minorEastAsia" w:eastAsiaTheme="minorEastAsia"/>
                <w:color w:val="auto"/>
                <w:sz w:val="21"/>
                <w:szCs w:val="21"/>
                <w:highlight w:val="none"/>
                <w:lang w:bidi="ar"/>
              </w:rPr>
              <w:t xml:space="preserve">CMA标识的第三方检测机构出具的检测报告复印件并加盖公章）</w:t>
            </w:r>
            <w:bookmarkEnd w:id="30"/>
            <w:r/>
            <w:bookmarkEnd w:id="31"/>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2、外框：</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采用磨砂银白铝合金型材；型材断面有</w:t>
            </w:r>
            <w:r>
              <w:rPr>
                <w:rFonts w:asciiTheme="minorEastAsia" w:hAnsiTheme="minorEastAsia" w:eastAsiaTheme="minorEastAsia"/>
                <w:color w:val="auto"/>
                <w:sz w:val="21"/>
                <w:szCs w:val="21"/>
                <w:highlight w:val="none"/>
              </w:rPr>
              <w:t xml:space="preserve">ABS包角材料全包覆，边缘光洁无毛刺；采用超窄铝合金材，有效增加书写板书写面积。</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3、包角材料：</w:t>
            </w:r>
            <w:r/>
          </w:p>
          <w:p>
            <w:pPr>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采用抗疲劳ABS工程塑料，模具成型，无锐角，边框与书写面板的固定</w:t>
            </w:r>
            <w:r>
              <w:rPr>
                <w:color w:val="auto"/>
                <w:highlight w:val="none"/>
              </w:rPr>
              <w:t xml:space="preserve"> </w:t>
            </w:r>
            <w:r>
              <w:rPr>
                <w:rFonts w:hint="eastAsia" w:asciiTheme="minorEastAsia" w:hAnsiTheme="minorEastAsia" w:eastAsiaTheme="minorEastAsia"/>
                <w:color w:val="auto"/>
                <w:sz w:val="21"/>
                <w:szCs w:val="21"/>
                <w:highlight w:val="none"/>
              </w:rPr>
              <w:t xml:space="preserve">。</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4、安装要求：隐形安装，无外露安装件；书写板与一体机平齐，两侧有铝合金侧封板，连接部位无工具不可拆卸。。</w:t>
            </w:r>
            <w:r/>
          </w:p>
          <w:p>
            <w:pPr>
              <w:pStyle w:val="921"/>
              <w:contextualSpacing/>
              <w:ind w:left="0" w:firstLine="0"/>
              <w:spacing w:after="0" w:line="24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三、中央控制系统：</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1.前面板需具有LCD显示屏，通过旋钮可选择、设置菜单、查看主机IP地址及设备版本信息等；需内置Web Server，可通过浏览器访问主机进行参数设置和管理。</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2.需内不少于5口千兆网交换机，支持VLAN设置，可分别连接局域网、广域网，满足不同应用环境需求。 </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需内置HDMI矩阵，≥4路HDMI输入接口，≥4路HDMI输出接口，支持HDMI1.4标准、HDCP1.4，最高分辨率为3840*2160/30Hz；≥4路单刀双掷开关控制端口（3PIN凤凰端子），用以控制门禁开关或环境装置，如窗帘的开/闭，投影机的升/降，灯光开/关等；≥6路可编程RS232通信串口，其中4路为3PIN凤凰端子，另外2路为4PIN凤凰端子（含12V DC供电）；≥1路可编辑RS485通信串口（4PIN凤凰端子），带12V DC供电。(投标时提供投标产品实物图片并对相关接口进行说明)</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4.需集成4路IR红外发射器接口，用于连接红外发射棒以控制红外遥控设备，如空调、电视机等。</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5.需集成不少于2路DI输入（最大输入电平12V DC），可实现探测开关量信号，驱动中控执行场景动作开关，如继电器开锁、开关环境灯、开关电源、上课等指令。</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▲6.需集成不少于2个USBType-C输入，用于连接台式机、笔记本电脑等；≥4路USB Type-A输出，可用于连接交互书写显示器、单/双屏智慧黑板等设备;≥2路USB Type-A接口（DC5V、2A供电），用于连接充电座、 无线投屏等设备；≥1路USB Type-C接口，连接电脑，通过内置网页启用数字音频输入功能，具有虚拟键盘功能，可用于控制电脑关机、系统音量及PPT翻页；≥1路USB接口，支持刷卡上课功能。(投标时提供投标产品实物图片并对相关接口进行说明)</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7.≥3路220V强电输出插座，可为投影机、电动幕布及其它教学设备供电。</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8.配合教学管理平台，实现校园教学设备集中管控；支持教室内设备（灯光、空调、窗帘等）接入系统，进行本地或远程控制调节，状态监控和能耗统计；主机连接环境监测器，支持CO2、PM2.5、温度、 湿度、光照度等环境监测和环境数据统计；接入带电子锁的充电底座或有线麦克风，可以实时检测充电状态、归还状态及设备在线/离线状态和解锁麦克风；连接控制屏，可实现IP对讲功能；支持IP数字音频广播功能，通过集控平台，将教学平台多媒体管理系统的音频文件广播到指定或全部教室；支持高清视频分区推送。</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四、配套电视（分屏）：2台</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屏幕尺寸：65寸 </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屏幕分辨率：3840x2160 </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色彩度：12Bit，BT.2020 色相配色 </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使用寿命：80000小时以上 </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智能操作系统：具备智能、多功能操作界面、允许预置及安装第三方软件 </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含线材辅材：HDMI线，电源线，网线，线槽等。</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五、讲台：</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1、产品尺寸L*W*H（mm）：1200*810*1000mm(±5mm) ；桌面离地高度：900mm(±5mm)</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2、钢木结合，讲桌上下层钣金采用1.0-2.0mm冷轧钢板。钣金零件须通过酸洗磷化喷涂并进行高温烘烤；讲桌喷涂细致，颗粒均匀；桌面采用18MM木质耐刮材料。</w:t>
            </w:r>
            <w:r/>
          </w:p>
          <w:p>
            <w:pPr>
              <w:rPr>
                <w:color w:val="auto"/>
                <w:sz w:val="21"/>
                <w:szCs w:val="21"/>
                <w:highlight w:val="none"/>
              </w:rPr>
            </w:pPr>
            <w:r>
              <w:rPr>
                <w:rFonts w:hint="eastAsia" w:asciiTheme="minorEastAsia" w:hAnsiTheme="minorEastAsia" w:eastAsiaTheme="minorEastAsia"/>
                <w:color w:val="auto"/>
                <w:sz w:val="21"/>
                <w:szCs w:val="21"/>
                <w:highlight w:val="none"/>
              </w:rPr>
              <w:t xml:space="preserve">▲3、桌面三侧采用包围式一体设计，围边采用木质弯曲工艺，围边材料为厚度15MM的木质材料；其中左右两侧围边采用模具一体成形，长570mm，宽370mm，高210mm，采用R100圆弧模具弯曲成型，围边的前面与侧面的角度成直角。侧面围边的扶手与桌面呈5°的夹角，围边的边角圆弧为R20：前面凸字形木围边衔接，尺寸为：698*270*15mm。</w:t>
            </w:r>
            <w:r>
              <w:rPr>
                <w:rFonts w:hint="eastAsia"/>
                <w:color w:val="auto"/>
                <w:sz w:val="21"/>
                <w:szCs w:val="21"/>
                <w:highlight w:val="none"/>
              </w:rPr>
              <w:t xml:space="preserve">（提供设计图）</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4、布局设计：可选配支架臂；桌面左右侧整体平整设计，为教学教具提供更大放置区域；讲桌上层立面设计一个托腕式的键盘抽屉，抽屉尺寸：≥570*19</w:t>
            </w:r>
            <w:r>
              <w:rPr>
                <w:rFonts w:hint="eastAsia" w:asciiTheme="minorEastAsia" w:hAnsiTheme="minorEastAsia" w:eastAsiaTheme="minorEastAsia"/>
                <w:color w:val="auto"/>
                <w:sz w:val="21"/>
                <w:szCs w:val="21"/>
                <w:highlight w:val="none"/>
                <w:lang w:val="en-US"/>
              </w:rPr>
              <w:t xml:space="preserve">0</w:t>
            </w:r>
            <w:r>
              <w:rPr>
                <w:rFonts w:hint="eastAsia" w:asciiTheme="minorEastAsia" w:hAnsiTheme="minorEastAsia" w:eastAsiaTheme="minorEastAsia"/>
                <w:color w:val="auto"/>
                <w:sz w:val="21"/>
                <w:szCs w:val="21"/>
                <w:highlight w:val="none"/>
              </w:rPr>
              <w:t xml:space="preserve">*48mm，</w:t>
            </w:r>
            <w:r>
              <w:rPr>
                <w:rFonts w:hint="eastAsia" w:asciiTheme="minorEastAsia" w:hAnsiTheme="minorEastAsia" w:eastAsiaTheme="minorEastAsia"/>
                <w:bCs/>
                <w:color w:val="auto"/>
                <w:sz w:val="21"/>
                <w:szCs w:val="21"/>
                <w:highlight w:val="none"/>
                <w:lang w:eastAsia="zh-Hans"/>
              </w:rPr>
              <w:t xml:space="preserve">抽屉</w:t>
            </w:r>
            <w:r>
              <w:rPr>
                <w:rFonts w:hint="eastAsia" w:asciiTheme="minorEastAsia" w:hAnsiTheme="minorEastAsia" w:eastAsiaTheme="minorEastAsia"/>
                <w:color w:val="auto"/>
                <w:sz w:val="21"/>
                <w:szCs w:val="21"/>
                <w:highlight w:val="none"/>
              </w:rPr>
              <w:t xml:space="preserve">采用三节加厚钢珠静音导轨，材料厚度为1.2mm。</w:t>
            </w:r>
            <w:r/>
          </w:p>
          <w:p>
            <w:pPr>
              <w:rPr>
                <w:color w:val="auto"/>
                <w:sz w:val="21"/>
                <w:szCs w:val="21"/>
                <w:highlight w:val="none"/>
              </w:rPr>
            </w:pPr>
            <w:r>
              <w:rPr>
                <w:rFonts w:hint="eastAsia" w:asciiTheme="minorEastAsia" w:hAnsiTheme="minorEastAsia" w:eastAsiaTheme="minorEastAsia"/>
                <w:bCs/>
                <w:color w:val="auto"/>
                <w:sz w:val="21"/>
                <w:szCs w:val="21"/>
                <w:highlight w:val="none"/>
              </w:rPr>
              <w:t xml:space="preserve">▲</w:t>
            </w:r>
            <w:r>
              <w:rPr>
                <w:rFonts w:hint="eastAsia" w:asciiTheme="minorEastAsia" w:hAnsiTheme="minorEastAsia" w:eastAsiaTheme="minorEastAsia"/>
                <w:color w:val="auto"/>
                <w:sz w:val="21"/>
                <w:szCs w:val="21"/>
                <w:highlight w:val="none"/>
              </w:rPr>
              <w:t xml:space="preserve">5、</w:t>
            </w:r>
            <w:r>
              <w:rPr>
                <w:rFonts w:hint="eastAsia" w:asciiTheme="minorEastAsia" w:hAnsiTheme="minorEastAsia" w:eastAsiaTheme="minorEastAsia"/>
                <w:bCs/>
                <w:color w:val="auto"/>
                <w:sz w:val="21"/>
                <w:szCs w:val="21"/>
                <w:highlight w:val="none"/>
              </w:rPr>
              <w:t xml:space="preserve">所投产品使用的导轨</w:t>
            </w:r>
            <w:r>
              <w:rPr>
                <w:rFonts w:hint="eastAsia" w:asciiTheme="minorEastAsia" w:hAnsiTheme="minorEastAsia" w:eastAsiaTheme="minorEastAsia"/>
                <w:bCs/>
                <w:color w:val="auto"/>
                <w:sz w:val="21"/>
                <w:szCs w:val="21"/>
                <w:highlight w:val="none"/>
                <w:lang w:eastAsia="zh-Hans"/>
              </w:rPr>
              <w:t xml:space="preserve">检测结果符合</w:t>
            </w:r>
            <w:r>
              <w:rPr>
                <w:rFonts w:hint="eastAsia" w:asciiTheme="minorEastAsia" w:hAnsiTheme="minorEastAsia" w:eastAsiaTheme="minorEastAsia"/>
                <w:bCs/>
                <w:color w:val="auto"/>
                <w:sz w:val="21"/>
                <w:szCs w:val="21"/>
                <w:highlight w:val="none"/>
              </w:rPr>
              <w:t xml:space="preserve">GB/T 10125-2021</w:t>
            </w:r>
            <w:r>
              <w:rPr>
                <w:rFonts w:hint="eastAsia" w:asciiTheme="minorEastAsia" w:hAnsiTheme="minorEastAsia" w:eastAsiaTheme="minorEastAsia"/>
                <w:bCs/>
                <w:color w:val="auto"/>
                <w:sz w:val="21"/>
                <w:szCs w:val="21"/>
                <w:highlight w:val="none"/>
                <w:lang w:eastAsia="zh-Hans"/>
              </w:rPr>
              <w:t xml:space="preserve">《人造气氛腐蚀试验盐雾试验》、</w:t>
            </w:r>
            <w:bookmarkStart w:id="32" w:name="OLE_LINK17"/>
            <w:r/>
            <w:bookmarkStart w:id="33" w:name="OLE_LINK16"/>
            <w:r>
              <w:rPr>
                <w:rFonts w:hint="eastAsia" w:asciiTheme="minorEastAsia" w:hAnsiTheme="minorEastAsia" w:eastAsiaTheme="minorEastAsia"/>
                <w:bCs/>
                <w:color w:val="auto"/>
                <w:sz w:val="21"/>
                <w:szCs w:val="21"/>
                <w:highlight w:val="none"/>
                <w:lang w:eastAsia="zh-Hans"/>
              </w:rPr>
              <w:t xml:space="preserve">GB/T 6461-2002</w:t>
            </w:r>
            <w:bookmarkEnd w:id="32"/>
            <w:r/>
            <w:bookmarkEnd w:id="33"/>
            <w:r>
              <w:rPr>
                <w:rFonts w:hint="eastAsia" w:asciiTheme="minorEastAsia" w:hAnsiTheme="minorEastAsia" w:eastAsiaTheme="minorEastAsia"/>
                <w:bCs/>
                <w:color w:val="auto"/>
                <w:sz w:val="21"/>
                <w:szCs w:val="21"/>
                <w:highlight w:val="none"/>
                <w:lang w:eastAsia="zh-Hans"/>
              </w:rPr>
              <w:t xml:space="preserve">《金属基体上金属和其他无机覆盖层经腐蚀试验后的试样和试件的评级》检验要求，保护评级为RA为十级，</w:t>
            </w:r>
            <w:r>
              <w:rPr>
                <w:rFonts w:hint="eastAsia"/>
                <w:color w:val="auto"/>
                <w:sz w:val="21"/>
                <w:szCs w:val="21"/>
                <w:highlight w:val="none"/>
                <w:lang w:bidi="ar"/>
              </w:rPr>
              <w:t xml:space="preserve">（提供具有</w:t>
            </w:r>
            <w:r>
              <w:rPr>
                <w:color w:val="auto"/>
                <w:sz w:val="21"/>
                <w:szCs w:val="21"/>
                <w:highlight w:val="none"/>
                <w:lang w:bidi="ar"/>
              </w:rPr>
              <w:t xml:space="preserve">CMA标识的第三方检测机构出具的检测报告复印件并加盖公章）</w:t>
            </w:r>
            <w:r/>
          </w:p>
          <w:p>
            <w:pPr>
              <w:pStyle w:val="939"/>
              <w:contextualSpacing/>
              <w:ind w:left="0" w:firstLine="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6、讲桌上层配有直径≥Φ80mm ABS材料的水杯架，深度≥80mm；可旋转角度≥90度，实现隐藏式安装。</w:t>
            </w:r>
            <w:r/>
          </w:p>
          <w:p>
            <w:pPr>
              <w:pStyle w:val="939"/>
              <w:contextualSpacing/>
              <w:ind w:left="0" w:firstLine="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7、下层机柜为标准钣金机架设计，机柜的安装空间不小于14U，机柜深度不低于440mm，配一块层板，前后都可以开门，方便维护。</w:t>
            </w:r>
            <w:r/>
          </w:p>
          <w:p>
            <w:pPr>
              <w:pStyle w:val="939"/>
              <w:contextualSpacing/>
              <w:ind w:left="0" w:firstLine="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8、下层前门配置机柜锁。底部预留300*160mm的过线孔，侧面四周均设置了进线孔，整体呈封闭式设计，防鼠，防虫，防垃圾积聚。</w:t>
            </w:r>
            <w:r/>
          </w:p>
          <w:p>
            <w:pPr>
              <w:pStyle w:val="939"/>
              <w:contextualSpacing/>
              <w:ind w:left="0" w:firstLine="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9、下层采用拆装式设计，减小运输空间，方便在各教室进行搬运。后门可以提供LOGO制作空间。</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六、集成：</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1、含高清线及辅材</w:t>
            </w:r>
            <w:r/>
          </w:p>
          <w:p>
            <w:pPr>
              <w:pStyle w:val="939"/>
              <w:contextualSpacing/>
              <w:ind w:left="0" w:firstLine="0"/>
              <w:rPr>
                <w:rFonts w:asciiTheme="minorEastAsia" w:hAnsiTheme="minorEastAsia" w:eastAsiaTheme="minorEastAsia"/>
                <w:color w:val="auto"/>
                <w:sz w:val="21"/>
                <w:szCs w:val="21"/>
                <w:highlight w:val="none"/>
                <w:u w:val="single"/>
              </w:rPr>
            </w:pPr>
            <w:r>
              <w:rPr>
                <w:rFonts w:hint="eastAsia" w:asciiTheme="minorEastAsia" w:hAnsiTheme="minorEastAsia" w:eastAsiaTheme="minorEastAsia"/>
                <w:color w:val="auto"/>
                <w:sz w:val="21"/>
                <w:szCs w:val="21"/>
                <w:highlight w:val="none"/>
              </w:rPr>
              <w:t xml:space="preserve">2、设备安装调试</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2</w:t>
            </w:r>
            <w:r/>
          </w:p>
        </w:tc>
        <w:tc>
          <w:tcPr>
            <w:tcW w:w="1701" w:type="dxa"/>
            <w:vAlign w:val="center"/>
            <w:textDirection w:val="lrTb"/>
            <w:noWrap w:val="false"/>
          </w:tcPr>
          <w:p>
            <w:pPr>
              <w:widowControl/>
              <w:rPr>
                <w:color w:val="auto"/>
                <w:highlight w:val="none"/>
              </w:rPr>
            </w:pPr>
            <w:r>
              <w:rPr>
                <w:rFonts w:hint="eastAsia"/>
                <w:color w:val="auto"/>
                <w:highlight w:val="none"/>
              </w:rPr>
              <w:t xml:space="preserve">智慧教学设备2</w:t>
            </w:r>
            <w:r/>
          </w:p>
        </w:tc>
        <w:tc>
          <w:tcPr>
            <w:tcW w:w="7796" w:type="dxa"/>
            <w:vAlign w:val="center"/>
            <w:textDirection w:val="lrTb"/>
            <w:noWrap w:val="false"/>
          </w:tcPr>
          <w:p>
            <w:pPr>
              <w:numPr>
                <w:ilvl w:val="0"/>
                <w:numId w:val="23"/>
              </w:numPr>
              <w:contextualSpacing/>
              <w:rPr>
                <w:rFonts w:asciiTheme="minorEastAsia" w:hAnsiTheme="minorEastAsia" w:eastAsiaTheme="minorEastAsia"/>
                <w:b/>
                <w:color w:val="auto"/>
                <w:sz w:val="21"/>
                <w:szCs w:val="21"/>
                <w:highlight w:val="none"/>
                <w:lang w:bidi="ar"/>
              </w:rPr>
            </w:pPr>
            <w:r>
              <w:rPr>
                <w:rFonts w:hint="eastAsia" w:asciiTheme="minorEastAsia" w:hAnsiTheme="minorEastAsia" w:eastAsiaTheme="minorEastAsia"/>
                <w:b/>
                <w:color w:val="auto"/>
                <w:sz w:val="21"/>
                <w:szCs w:val="21"/>
                <w:highlight w:val="none"/>
                <w:lang w:bidi="ar"/>
              </w:rPr>
              <w:t xml:space="preserve">显示设备</w:t>
            </w:r>
            <w:r/>
          </w:p>
          <w:p>
            <w:pPr>
              <w:contextualSpacing/>
              <w:rPr>
                <w:rFonts w:asciiTheme="minorEastAsia" w:hAnsiTheme="minorEastAsia" w:eastAsiaTheme="minorEastAsia"/>
                <w:b/>
                <w:color w:val="auto"/>
                <w:sz w:val="21"/>
                <w:szCs w:val="21"/>
                <w:highlight w:val="none"/>
                <w:lang w:bidi="ar"/>
              </w:rPr>
            </w:pPr>
            <w:r>
              <w:rPr>
                <w:rFonts w:hint="eastAsia" w:asciiTheme="minorEastAsia" w:hAnsiTheme="minorEastAsia" w:eastAsiaTheme="minorEastAsia"/>
                <w:b/>
                <w:color w:val="auto"/>
                <w:sz w:val="21"/>
                <w:szCs w:val="21"/>
                <w:highlight w:val="none"/>
                <w:lang w:bidi="ar"/>
              </w:rPr>
              <w:t xml:space="preserve">整机设计要求：</w:t>
            </w:r>
            <w:r/>
          </w:p>
          <w:p>
            <w:pPr>
              <w:pStyle w:val="860"/>
              <w:contextualSpacing/>
              <w:ind w:left="0"/>
              <w:tabs>
                <w:tab w:val="left" w:pos="432" w:leader="none"/>
                <w:tab w:val="left" w:pos="575" w:leader="none"/>
              </w:tabs>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1、屏幕尺寸（对角线）≥86英寸，显示比例16:9，亮度≥350cd/m2，对比度≥4000：1，刷新率60Hz，可视角度≥178°，分辨率3840×2160，屏幕显示灰度等级≥1024灰阶。</w:t>
            </w:r>
            <w:r/>
          </w:p>
          <w:p>
            <w:pPr>
              <w:contextualSpacing/>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2、外观设计：三边无边框，全面屏设计。</w:t>
            </w:r>
            <w:r/>
          </w:p>
          <w:p>
            <w:pPr>
              <w:contextualSpacing/>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bidi="ar"/>
              </w:rPr>
              <w:t xml:space="preserve">3</w:t>
            </w:r>
            <w:r>
              <w:rPr>
                <w:rFonts w:hint="eastAsia" w:asciiTheme="minorEastAsia" w:hAnsiTheme="minorEastAsia" w:eastAsiaTheme="minorEastAsia"/>
                <w:color w:val="auto"/>
                <w:sz w:val="21"/>
                <w:szCs w:val="21"/>
                <w:highlight w:val="none"/>
              </w:rPr>
              <w:t xml:space="preserve">、屏幕具备防眩光功能，表面雾度</w:t>
            </w:r>
            <w:r>
              <w:rPr>
                <w:rFonts w:asciiTheme="minorEastAsia" w:hAnsiTheme="minorEastAsia" w:eastAsiaTheme="minorEastAsia"/>
                <w:color w:val="auto"/>
                <w:sz w:val="21"/>
                <w:szCs w:val="21"/>
                <w:highlight w:val="none"/>
              </w:rPr>
              <w:t xml:space="preserve">25%，防止由于室内灯光及室外光线对屏幕的产生反光现象，，同时减少由于长时间观看屏幕产生眼睛疲劳感。</w:t>
            </w:r>
            <w:r/>
          </w:p>
          <w:p>
            <w:pPr>
              <w:contextualSpacing/>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bidi="ar"/>
              </w:rPr>
              <w:t xml:space="preserve">4、</w:t>
            </w:r>
            <w:r>
              <w:rPr>
                <w:rFonts w:hint="eastAsia" w:asciiTheme="minorEastAsia" w:hAnsiTheme="minorEastAsia" w:eastAsiaTheme="minorEastAsia"/>
                <w:color w:val="auto"/>
                <w:sz w:val="21"/>
                <w:szCs w:val="21"/>
                <w:highlight w:val="none"/>
              </w:rPr>
              <w:t xml:space="preserve">整机输入端子：RJ45≥1路、</w:t>
            </w:r>
            <w:r>
              <w:rPr>
                <w:rFonts w:hint="eastAsia" w:asciiTheme="minorEastAsia" w:hAnsiTheme="minorEastAsia" w:eastAsiaTheme="minorEastAsia"/>
                <w:color w:val="auto"/>
                <w:sz w:val="21"/>
                <w:szCs w:val="21"/>
                <w:highlight w:val="none"/>
                <w:lang w:bidi="ar"/>
              </w:rPr>
              <w:t xml:space="preserve">USB3.0≥1路、USB2.0≥1路、非扩展HDMI IN≥2路、SPDIF OUT≥1路、Type-C≥1路、RS232≥1路。支持外接中控系统控制整机。</w:t>
            </w:r>
            <w:r/>
          </w:p>
          <w:p>
            <w:pPr>
              <w:pStyle w:val="860"/>
              <w:contextualSpacing/>
              <w:ind w:left="0"/>
              <w:tabs>
                <w:tab w:val="left" w:pos="432" w:leader="none"/>
                <w:tab w:val="left" w:pos="575" w:leader="none"/>
              </w:tabs>
              <w:rPr>
                <w:rFonts w:asciiTheme="minorEastAsia" w:hAnsiTheme="minorEastAsia" w:eastAsiaTheme="minorEastAsia"/>
                <w:b w:val="0"/>
                <w:color w:val="auto"/>
                <w:sz w:val="21"/>
                <w:szCs w:val="21"/>
                <w:highlight w:val="none"/>
              </w:rPr>
            </w:pPr>
            <w:r>
              <w:rPr>
                <w:rFonts w:hint="eastAsia" w:asciiTheme="minorEastAsia" w:hAnsiTheme="minorEastAsia" w:eastAsiaTheme="minorEastAsia"/>
                <w:b w:val="0"/>
                <w:color w:val="auto"/>
                <w:sz w:val="21"/>
                <w:szCs w:val="21"/>
                <w:highlight w:val="none"/>
              </w:rPr>
              <w:t xml:space="preserve">5、支持使用遥控器和实体电源键开机，且开机无任何广告。</w:t>
            </w:r>
            <w:r/>
          </w:p>
          <w:p>
            <w:pPr>
              <w:contextualSpacing/>
              <w:rPr>
                <w:rFonts w:asciiTheme="minorEastAsia" w:hAnsiTheme="minorEastAsia" w:eastAsiaTheme="minorEastAsia"/>
                <w:b/>
                <w:color w:val="auto"/>
                <w:sz w:val="21"/>
                <w:szCs w:val="21"/>
                <w:highlight w:val="none"/>
                <w:lang w:bidi="ar"/>
              </w:rPr>
            </w:pPr>
            <w:r>
              <w:rPr>
                <w:rFonts w:hint="eastAsia" w:asciiTheme="minorEastAsia" w:hAnsiTheme="minorEastAsia" w:eastAsiaTheme="minorEastAsia"/>
                <w:b/>
                <w:color w:val="auto"/>
                <w:sz w:val="21"/>
                <w:szCs w:val="21"/>
                <w:highlight w:val="none"/>
                <w:lang w:bidi="ar"/>
              </w:rPr>
              <w:t xml:space="preserve">嵌入式系统功能配置：</w:t>
            </w:r>
            <w:r/>
          </w:p>
          <w:p>
            <w:pPr>
              <w:contextualSpacing/>
              <w:widowControl/>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1、系统配置：系统版本≥Android 11.0，内存（RAM）≥3G，存储空间（ROM）≥32G。</w:t>
            </w:r>
            <w:r/>
          </w:p>
          <w:p>
            <w:pPr>
              <w:contextualSpacing/>
              <w:widowControl/>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2、HDMI设备控制：支持智屏跟随HDMI设备进行开机，智屏跟随HDMI设备进行待机，HDMI设备跟随智屏待机。</w:t>
            </w:r>
            <w:r/>
          </w:p>
          <w:p>
            <w:pPr>
              <w:contextualSpacing/>
              <w:rPr>
                <w:rFonts w:asciiTheme="minorEastAsia" w:hAnsiTheme="minorEastAsia" w:eastAsiaTheme="minorEastAsia"/>
                <w:b/>
                <w:color w:val="auto"/>
                <w:sz w:val="21"/>
                <w:szCs w:val="21"/>
                <w:highlight w:val="none"/>
                <w:lang w:bidi="ar"/>
              </w:rPr>
            </w:pPr>
            <w:r>
              <w:rPr>
                <w:rFonts w:hint="eastAsia" w:asciiTheme="minorEastAsia" w:hAnsiTheme="minorEastAsia" w:eastAsiaTheme="minorEastAsia"/>
                <w:b/>
                <w:color w:val="auto"/>
                <w:sz w:val="21"/>
                <w:szCs w:val="21"/>
                <w:highlight w:val="none"/>
                <w:lang w:bidi="ar"/>
              </w:rPr>
              <w:t xml:space="preserve">嵌入式系统投屏功能</w:t>
            </w:r>
            <w:r/>
          </w:p>
          <w:p>
            <w:pPr>
              <w:contextualSpacing/>
              <w:widowControl/>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1、支持基于HDMI 物理线缆实现电脑终端有线投屏。</w:t>
            </w:r>
            <w:r/>
          </w:p>
          <w:p>
            <w:pPr>
              <w:contextualSpacing/>
              <w:widowControl/>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2、内置无线传屏接收端，无需外接接收部件，无线传屏发射器与整机匹配后即可实现传屏功能，将外部电脑（Windows , Mac Os及国产操作系统）、手机、PAD的屏幕画面及声音通过无线方式传输到整机上显示及播放。支持在加密模式下实现点对点投屏，保证投屏不受其它设备的干扰和数据安全。</w:t>
            </w:r>
            <w:r/>
          </w:p>
          <w:p>
            <w:pPr>
              <w:contextualSpacing/>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lang w:bidi="ar"/>
              </w:rPr>
              <w:t xml:space="preserve">3、</w:t>
            </w:r>
            <w:r>
              <w:rPr>
                <w:rFonts w:asciiTheme="minorEastAsia" w:hAnsiTheme="minorEastAsia" w:eastAsiaTheme="minorEastAsia"/>
                <w:color w:val="auto"/>
                <w:sz w:val="21"/>
                <w:szCs w:val="21"/>
                <w:highlight w:val="none"/>
              </w:rPr>
              <w:t xml:space="preserve">整机支持至少11种投屏方式，Android客户端投屏、iOS客户端投屏、Windows客户端投屏、MacOS客户端投屏、Airpaly投屏、DLNA投屏、Miracast投屏、Chromecast投屏、Webcast投屏、USB投屏器投屏及Type-C投屏器投屏。</w:t>
            </w:r>
            <w:r/>
          </w:p>
          <w:p>
            <w:pPr>
              <w:pStyle w:val="860"/>
              <w:contextualSpacing/>
              <w:ind w:left="0"/>
              <w:tabs>
                <w:tab w:val="left" w:pos="432" w:leader="none"/>
                <w:tab w:val="left" w:pos="575" w:leader="none"/>
              </w:tabs>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集控管理平台</w:t>
            </w:r>
            <w:r/>
          </w:p>
          <w:p>
            <w:pPr>
              <w:contextualSpacing/>
              <w:widowControl/>
              <w:rPr>
                <w:rFonts w:asciiTheme="minorEastAsia" w:hAnsiTheme="minorEastAsia" w:eastAsiaTheme="minorEastAsia"/>
                <w:color w:val="auto"/>
                <w:sz w:val="21"/>
                <w:szCs w:val="21"/>
                <w:highlight w:val="none"/>
                <w:lang w:bidi="ar"/>
              </w:rPr>
            </w:pPr>
            <w:r>
              <w:rPr>
                <w:rFonts w:hint="eastAsia" w:asciiTheme="minorEastAsia" w:hAnsiTheme="minorEastAsia" w:eastAsiaTheme="minorEastAsia"/>
                <w:color w:val="auto"/>
                <w:sz w:val="21"/>
                <w:szCs w:val="21"/>
                <w:highlight w:val="none"/>
              </w:rPr>
              <w:t xml:space="preserve">1、集</w:t>
            </w:r>
            <w:r>
              <w:rPr>
                <w:rFonts w:hint="eastAsia" w:asciiTheme="minorEastAsia" w:hAnsiTheme="minorEastAsia" w:eastAsiaTheme="minorEastAsia"/>
                <w:color w:val="auto"/>
                <w:sz w:val="21"/>
                <w:szCs w:val="21"/>
                <w:highlight w:val="none"/>
                <w:lang w:bidi="ar"/>
              </w:rPr>
              <w:t xml:space="preserve">控管理平台支持B/S、C/S架构，可根据用户需求实现本地部署或云端部署；</w:t>
            </w:r>
            <w:r/>
          </w:p>
          <w:p>
            <w:pPr>
              <w:contextualSpacing/>
              <w:widowControl/>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lang w:bidi="ar"/>
              </w:rPr>
              <w:t xml:space="preserve">2、提供远程控制、设备管理功能，实时采集设备运行数据，分析设备使用、分布情况。</w:t>
            </w:r>
            <w:r/>
          </w:p>
          <w:p>
            <w:pPr>
              <w:contextualSpacing/>
              <w:rPr>
                <w:rFonts w:asciiTheme="minorEastAsia" w:hAnsiTheme="minorEastAsia" w:eastAsiaTheme="minorEastAsia"/>
                <w:bCs/>
                <w:color w:val="auto"/>
                <w:sz w:val="21"/>
                <w:szCs w:val="21"/>
                <w:highlight w:val="none"/>
              </w:rPr>
            </w:pPr>
            <w:r>
              <w:rPr>
                <w:rFonts w:hint="eastAsia" w:asciiTheme="minorEastAsia" w:hAnsiTheme="minorEastAsia" w:eastAsiaTheme="minorEastAsia"/>
                <w:bCs/>
                <w:color w:val="auto"/>
                <w:sz w:val="21"/>
                <w:szCs w:val="21"/>
                <w:highlight w:val="none"/>
              </w:rPr>
              <w:t xml:space="preserve">二、配书写黑板：</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整体结构：由一块安装于一体机侧面的固定黑板组成，整体包边。</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整体尺寸：4000*1200mm（可根据现场情况进行调整）。</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黑板材质：</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1、面板、背板、夹层：</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（1）书写面板采用搪瓷面板，覆有透明保护膜，整块无拼接，厚度≥</w:t>
            </w:r>
            <w:r>
              <w:rPr>
                <w:rFonts w:asciiTheme="minorEastAsia" w:hAnsiTheme="minorEastAsia" w:eastAsiaTheme="minorEastAsia"/>
                <w:color w:val="auto"/>
                <w:sz w:val="21"/>
                <w:szCs w:val="21"/>
                <w:highlight w:val="none"/>
              </w:rPr>
              <w:t xml:space="preserve">0.4mm，表面硬度达到莫氏6度，书写性和擦拭性符合GB/T37773-2019《书写板钢板搪瓷》标准</w:t>
            </w:r>
            <w:r>
              <w:rPr>
                <w:rFonts w:hint="eastAsia" w:asciiTheme="minorEastAsia" w:hAnsiTheme="minorEastAsia" w:eastAsiaTheme="minorEastAsia"/>
                <w:color w:val="auto"/>
                <w:sz w:val="21"/>
                <w:szCs w:val="21"/>
                <w:highlight w:val="none"/>
              </w:rPr>
              <w:t xml:space="preserve">。</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）夹层采用聚苯乙烯板，软硬适中，厚度为≥</w:t>
            </w:r>
            <w:r>
              <w:rPr>
                <w:rFonts w:asciiTheme="minorEastAsia" w:hAnsiTheme="minorEastAsia" w:eastAsiaTheme="minorEastAsia"/>
                <w:color w:val="auto"/>
                <w:sz w:val="21"/>
                <w:szCs w:val="21"/>
                <w:highlight w:val="none"/>
              </w:rPr>
              <w:t xml:space="preserve">14mm，平整不变形，整张无拼接</w:t>
            </w:r>
            <w:r>
              <w:rPr>
                <w:rFonts w:hint="eastAsia" w:asciiTheme="minorEastAsia" w:hAnsiTheme="minorEastAsia" w:eastAsiaTheme="minorEastAsia"/>
                <w:color w:val="auto"/>
                <w:sz w:val="21"/>
                <w:szCs w:val="21"/>
                <w:highlight w:val="none"/>
              </w:rPr>
              <w:t xml:space="preserve">。</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rPr>
              <w:t xml:space="preserve">）背板采用整块防锈镀锌板，厚度≥</w:t>
            </w:r>
            <w:r>
              <w:rPr>
                <w:rFonts w:asciiTheme="minorEastAsia" w:hAnsiTheme="minorEastAsia" w:eastAsiaTheme="minorEastAsia"/>
                <w:color w:val="auto"/>
                <w:sz w:val="21"/>
                <w:szCs w:val="21"/>
                <w:highlight w:val="none"/>
              </w:rPr>
              <w:t xml:space="preserve">0.20mm，与面板、夹层用自动生产线高压一次成型，粘合牢固耐冲击，防水防锈，板面平整不开胶。符合GB 28231-2011《书写板安全卫生要求》以及GB/T 6739-2022《色漆和清漆 铅笔法测定漆膜硬度》的标准要求</w:t>
            </w:r>
            <w:r>
              <w:rPr>
                <w:rFonts w:hint="eastAsia" w:asciiTheme="minorEastAsia" w:hAnsiTheme="minorEastAsia" w:eastAsiaTheme="minorEastAsia"/>
                <w:color w:val="auto"/>
                <w:sz w:val="21"/>
                <w:szCs w:val="21"/>
                <w:highlight w:val="none"/>
              </w:rPr>
              <w:t xml:space="preserve">。</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2、外框：</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采用磨砂银白铝合金型材；型材断面有</w:t>
            </w:r>
            <w:r>
              <w:rPr>
                <w:rFonts w:asciiTheme="minorEastAsia" w:hAnsiTheme="minorEastAsia" w:eastAsiaTheme="minorEastAsia"/>
                <w:color w:val="auto"/>
                <w:sz w:val="21"/>
                <w:szCs w:val="21"/>
                <w:highlight w:val="none"/>
              </w:rPr>
              <w:t xml:space="preserve">ABS包角材料全包覆，边缘光洁无毛刺；采用超窄铝合金材，有效增加书写板书写面积。</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3、包角材料：</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采用抗疲劳</w:t>
            </w:r>
            <w:bookmarkStart w:id="34" w:name="OLE_LINK18"/>
            <w:r/>
            <w:bookmarkStart w:id="35" w:name="OLE_LINK19"/>
            <w:r>
              <w:rPr>
                <w:rFonts w:hint="eastAsia" w:asciiTheme="minorEastAsia" w:hAnsiTheme="minorEastAsia" w:eastAsiaTheme="minorEastAsia"/>
                <w:color w:val="auto"/>
                <w:sz w:val="21"/>
                <w:szCs w:val="21"/>
                <w:highlight w:val="none"/>
              </w:rPr>
              <w:t xml:space="preserve">ABS工程塑料</w:t>
            </w:r>
            <w:bookmarkEnd w:id="34"/>
            <w:r/>
            <w:bookmarkEnd w:id="35"/>
            <w:r>
              <w:rPr>
                <w:rFonts w:hint="eastAsia" w:asciiTheme="minorEastAsia" w:hAnsiTheme="minorEastAsia" w:eastAsiaTheme="minorEastAsia"/>
                <w:color w:val="auto"/>
                <w:sz w:val="21"/>
                <w:szCs w:val="21"/>
                <w:highlight w:val="none"/>
              </w:rPr>
              <w:t xml:space="preserve">，模具成型，无锐角，边框与书写面板的固定。</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4、安装要求：隐形安装，无外露安装件；书写板与一体机平齐，两侧有铝合金侧封板，连接部位无工具不可拆卸。</w:t>
            </w:r>
            <w:r/>
          </w:p>
          <w:p>
            <w:pPr>
              <w:pStyle w:val="921"/>
              <w:contextualSpacing/>
              <w:ind w:left="0" w:firstLine="0"/>
              <w:spacing w:after="0" w:line="240" w:lineRule="auto"/>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三、中央控制系统：</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1.前面板需具有LCD显示屏，通过旋钮可选择、设置菜单、查看主机IP地址及设备版本信息等；需内置Web Server，可通过浏览器访问主机进行参数设置和管理。</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2.需内不少于5口千兆网交换机，支持VLAN设置，可分别连接局域网、广域网，满足不同应用环境需求。 </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需内置HDMI矩阵，≥4路HDMI输入接口，≥4路HDMI输出接口，支持HDMI1.4标准、HDCP1.4，最高分辨率为3840*2160/30Hz；≥4路单刀双掷开关控制端口（3PIN凤凰端子），用以控制门禁开关或环境装置，如窗帘的开/闭，投影机的升/降，灯光开/关等；≥6路可编程RS232通信串口，其中4路为3PIN凤凰端子，另外2路为4PIN凤凰端子（含12V DC供电）；≥1路可编辑RS485通信串口（4PIN凤凰端子），带12V DC供电。</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4.需集成4路IR红外发射器接口，用于连接红外发射棒以控制红外遥控设备，如空调、电视机等。</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5.需集成不少于2路DI输入（最大输入电平12V DC），可实现探测开关量信号，驱动中控执行场景动作开关，如继电器开锁、开关环境灯、开关电源、上课等指令。</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6.需集成不少于2个USBType-C输入，用于连接台式机、笔记本电脑等；≥4路USB Type-A输出，可用于连接交互书写显示器、单/双屏智慧黑板等设备;≥2路USB Type-A接口（DC5V、2A供电），用于连接充电座、 无线投屏等设备；≥1路USB Type-C接口，连接电脑，通过内置网页启用数字音频输入功能，具有虚拟键盘功能，可用于控制电脑关机、系统音量及PPT翻页；≥1路USB接口，支持刷卡上课功能。</w:t>
            </w:r>
            <w:r/>
          </w:p>
          <w:p>
            <w:pPr>
              <w:pStyle w:val="920"/>
              <w:contextualSpacing/>
              <w:ind w:firstLine="0"/>
              <w:spacing w:after="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7.≥3路220V强电输出插座，可为投影机、电动幕布及其它教学设备供电。</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四、配套电视（分屏）：2台</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屏幕尺寸：65寸 </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屏幕分辨率：3840x2160 </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色彩度：12Bit，BT.2020 色相配色 </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使用寿命：80000小时以上 </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智能操作系统：具备智能、多功能操作界面、允许预置及安装第三方软件 </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含线材辅材：HDMI线，电源线，网线，线槽等。</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五、讲台：</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1、产品尺寸L*W*H（mm）：1200*810*1000mm(±5mm) ；桌面离地高度：900mm(±5mm)</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2、钢木结合，讲桌上下层钣金采用1.0-2.0mm冷轧钢板；桌面采用18MM木质耐刮材料。</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桌面三侧采用包围式一体设计，围边采用木质弯曲工艺，围边材料为厚度15MM的木质材料；其中左右两侧围边采用模具一体成形，长570mm，宽370mm，高210mm，采用R100圆弧模具弯曲成型，围边的前面与侧面的角度成直角。侧面围边的扶手与桌面呈5°的夹角，围边的边角圆弧为R20：前面凸字形木围边衔接，尺寸为：698*270*15mm。</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4、布局设计：可选配支架臂；桌面左右侧整体平整设计，为教学教具提供更大放置区域；讲桌上层立面设计一个托腕式的键盘抽屉，抽屉尺寸：≥570*19</w:t>
            </w:r>
            <w:r>
              <w:rPr>
                <w:rFonts w:hint="eastAsia" w:asciiTheme="minorEastAsia" w:hAnsiTheme="minorEastAsia" w:eastAsiaTheme="minorEastAsia"/>
                <w:color w:val="auto"/>
                <w:sz w:val="21"/>
                <w:szCs w:val="21"/>
                <w:highlight w:val="none"/>
                <w:lang w:val="en-US"/>
              </w:rPr>
              <w:t xml:space="preserve">0</w:t>
            </w:r>
            <w:r>
              <w:rPr>
                <w:rFonts w:hint="eastAsia" w:asciiTheme="minorEastAsia" w:hAnsiTheme="minorEastAsia" w:eastAsiaTheme="minorEastAsia"/>
                <w:color w:val="auto"/>
                <w:sz w:val="21"/>
                <w:szCs w:val="21"/>
                <w:highlight w:val="none"/>
              </w:rPr>
              <w:t xml:space="preserve">*48mm，</w:t>
            </w:r>
            <w:r>
              <w:rPr>
                <w:rFonts w:hint="eastAsia" w:asciiTheme="minorEastAsia" w:hAnsiTheme="minorEastAsia" w:eastAsiaTheme="minorEastAsia"/>
                <w:bCs/>
                <w:color w:val="auto"/>
                <w:sz w:val="21"/>
                <w:szCs w:val="21"/>
                <w:highlight w:val="none"/>
                <w:lang w:eastAsia="zh-Hans"/>
              </w:rPr>
              <w:t xml:space="preserve">抽屉</w:t>
            </w:r>
            <w:r>
              <w:rPr>
                <w:rFonts w:hint="eastAsia" w:asciiTheme="minorEastAsia" w:hAnsiTheme="minorEastAsia" w:eastAsiaTheme="minorEastAsia"/>
                <w:color w:val="auto"/>
                <w:sz w:val="21"/>
                <w:szCs w:val="21"/>
                <w:highlight w:val="none"/>
              </w:rPr>
              <w:t xml:space="preserve">采用三节加厚钢珠静音导轨，材料厚度为1.2mm。</w:t>
            </w:r>
            <w:r/>
          </w:p>
          <w:p>
            <w:pPr>
              <w:contextualSpacing/>
              <w:rPr>
                <w:rFonts w:asciiTheme="minorEastAsia" w:hAnsiTheme="minorEastAsia" w:eastAsiaTheme="minorEastAsia"/>
                <w:b/>
                <w:color w:val="auto"/>
                <w:sz w:val="21"/>
                <w:szCs w:val="21"/>
                <w:highlight w:val="none"/>
              </w:rPr>
            </w:pPr>
            <w:r>
              <w:rPr>
                <w:rFonts w:hint="eastAsia" w:asciiTheme="minorEastAsia" w:hAnsiTheme="minorEastAsia" w:eastAsiaTheme="minorEastAsia"/>
                <w:color w:val="auto"/>
                <w:sz w:val="21"/>
                <w:szCs w:val="21"/>
                <w:highlight w:val="none"/>
              </w:rPr>
              <w:t xml:space="preserve">5、</w:t>
            </w:r>
            <w:r>
              <w:rPr>
                <w:rFonts w:hint="eastAsia" w:asciiTheme="minorEastAsia" w:hAnsiTheme="minorEastAsia" w:eastAsiaTheme="minorEastAsia"/>
                <w:bCs/>
                <w:color w:val="auto"/>
                <w:sz w:val="21"/>
                <w:szCs w:val="21"/>
                <w:highlight w:val="none"/>
              </w:rPr>
              <w:t xml:space="preserve">所投产品使用的导轨</w:t>
            </w:r>
            <w:r>
              <w:rPr>
                <w:rFonts w:hint="eastAsia" w:asciiTheme="minorEastAsia" w:hAnsiTheme="minorEastAsia" w:eastAsiaTheme="minorEastAsia"/>
                <w:bCs/>
                <w:color w:val="auto"/>
                <w:sz w:val="21"/>
                <w:szCs w:val="21"/>
                <w:highlight w:val="none"/>
                <w:lang w:eastAsia="zh-Hans"/>
              </w:rPr>
              <w:t xml:space="preserve">检测结果符合</w:t>
            </w:r>
            <w:r>
              <w:rPr>
                <w:rFonts w:hint="eastAsia" w:asciiTheme="minorEastAsia" w:hAnsiTheme="minorEastAsia" w:eastAsiaTheme="minorEastAsia"/>
                <w:bCs/>
                <w:color w:val="auto"/>
                <w:sz w:val="21"/>
                <w:szCs w:val="21"/>
                <w:highlight w:val="none"/>
              </w:rPr>
              <w:t xml:space="preserve">GB/T 10125-2021</w:t>
            </w:r>
            <w:r>
              <w:rPr>
                <w:rFonts w:hint="eastAsia" w:asciiTheme="minorEastAsia" w:hAnsiTheme="minorEastAsia" w:eastAsiaTheme="minorEastAsia"/>
                <w:bCs/>
                <w:color w:val="auto"/>
                <w:sz w:val="21"/>
                <w:szCs w:val="21"/>
                <w:highlight w:val="none"/>
                <w:lang w:eastAsia="zh-Hans"/>
              </w:rPr>
              <w:t xml:space="preserve">《人造气氛腐蚀试验盐雾试验》、GB/T 6461-2002《金属基体上金属和其他无机覆盖层经腐蚀试验后的试样和试件的评级》检验要求，保护评级为RA为十级</w:t>
            </w:r>
            <w:r>
              <w:rPr>
                <w:rFonts w:hint="eastAsia" w:asciiTheme="minorEastAsia" w:hAnsiTheme="minorEastAsia" w:eastAsiaTheme="minorEastAsia"/>
                <w:bCs/>
                <w:color w:val="auto"/>
                <w:sz w:val="21"/>
                <w:szCs w:val="21"/>
                <w:highlight w:val="none"/>
              </w:rPr>
              <w:t xml:space="preserve">。</w:t>
            </w:r>
            <w:r/>
          </w:p>
          <w:p>
            <w:pPr>
              <w:pStyle w:val="939"/>
              <w:contextualSpacing/>
              <w:ind w:left="0" w:firstLine="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6、讲桌上层配有直径≥Φ80mm ABS材料的水杯架，深度≥80mm；可旋转角度≥90度，实现隐藏式安装。</w:t>
            </w:r>
            <w:r/>
          </w:p>
          <w:p>
            <w:pPr>
              <w:pStyle w:val="939"/>
              <w:contextualSpacing/>
              <w:ind w:left="0" w:firstLine="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7、下层机柜为标准钣金机架设计，机柜的安装空间不小于14U，机柜深度不低于440mm，配一块层板，前后都可以开门，方便维护。</w:t>
            </w:r>
            <w:r/>
          </w:p>
          <w:p>
            <w:pPr>
              <w:pStyle w:val="939"/>
              <w:contextualSpacing/>
              <w:ind w:left="0" w:firstLine="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8、下层前门配置机柜锁。底部预留300*160mm的过线孔，侧面四周均设置了进线孔，整体呈封闭式设计，防鼠，防虫，防垃圾积聚。</w:t>
            </w:r>
            <w:r/>
          </w:p>
          <w:p>
            <w:pPr>
              <w:pStyle w:val="939"/>
              <w:contextualSpacing/>
              <w:ind w:left="0" w:firstLine="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9、下层采用拆装式设计，减小运输空间，方便在各教室进行搬运。后门可以提供LOGO制作空间。</w:t>
            </w:r>
            <w:r/>
          </w:p>
          <w:p>
            <w:pPr>
              <w:pStyle w:val="939"/>
              <w:contextualSpacing/>
              <w:ind w:left="0" w:firstLine="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六、视频展台：1台</w:t>
            </w:r>
            <w:r/>
          </w:p>
          <w:p>
            <w:pPr>
              <w:pStyle w:val="939"/>
              <w:contextualSpacing/>
              <w:ind w:left="0" w:firstLine="0"/>
              <w:rPr>
                <w:rFonts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硬件参数：</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1.展台主体采用铝合金材质，体积小，折叠后方便老师存放和收纳。</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2.镜头像素：1300万像素，最大分辨率4160x3120。</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连接方式：有线和无线双模二合一。支持4K高清实时视频流传输，标配无线接收器连接，免驱即插即用；支持系统照相机直接打开图像，支持跨系统平台下使用，如：国产操作系统或Windows系统教学白板软件直接调用采集图像。</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展示范围≥A3幅面。摄像头臂可在竖直平面内0~90°或更大范围任意位置悬停、最大翻转至270度，镜头部件左右旋转180度。拍摄杆能下降到展示课件较近的距离，多角度进行展示和拍摄，适应各种教学场景。（提供具有</w:t>
            </w:r>
            <w:r>
              <w:rPr>
                <w:rFonts w:asciiTheme="minorEastAsia" w:hAnsiTheme="minorEastAsia" w:eastAsiaTheme="minorEastAsia"/>
                <w:color w:val="auto"/>
                <w:sz w:val="21"/>
                <w:szCs w:val="21"/>
                <w:highlight w:val="none"/>
              </w:rPr>
              <w:t xml:space="preserve">CMA标识的第三方检测机构出具的检测报告复印件并加盖公章</w:t>
            </w:r>
            <w:r>
              <w:rPr>
                <w:rFonts w:hint="eastAsia" w:asciiTheme="minorEastAsia" w:hAnsiTheme="minorEastAsia" w:eastAsiaTheme="minorEastAsia"/>
                <w:color w:val="auto"/>
                <w:sz w:val="21"/>
                <w:szCs w:val="21"/>
                <w:highlight w:val="none"/>
              </w:rPr>
              <w:t xml:space="preserve">，或产品彩页或白皮书</w:t>
            </w:r>
            <w:r>
              <w:rPr>
                <w:rFonts w:asciiTheme="minorEastAsia" w:hAnsiTheme="minorEastAsia" w:eastAsiaTheme="minorEastAsia"/>
                <w:color w:val="auto"/>
                <w:sz w:val="21"/>
                <w:szCs w:val="21"/>
                <w:highlight w:val="none"/>
              </w:rPr>
              <w:t xml:space="preserve">）</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5.内置聚合物电池，超长工作时效可达7~8小时。产品上可显示数字的百分比电池电量。</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6.底座集成按键拍照功能，移动授课时，老师无需返回讲台，可以一键拍照和连续拍照。带图像放大、缩小的旋钮开关，老师在移动教学时，无需返回讲台，也能通过旋钮控制大屏软件的图像进行放大和缩小。</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7.采用AF自动对焦，课件翻页和光线变化时不能出现频繁对焦的情况，提高教学演示效率。</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8.充电方式：采用Type-C充电接口，支持正反插。</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Windows软件参数：</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软件全中文图标；展台画面可以实时批注，预设笔划粗细及颜色选择，可在任意区域内批注书写，支持对展台成像画面联同批注内容进行同步缩放、移动、画面旋转、冻结；支持拍照，拍照后可以显示在侧栏，方便老师浏览和进行同屏对比教学，同屏支持1，2，4，9，16分屏，可单独对分屏进行旋转、全屏、缩放、删除等操作；且支持本地图片导入功能；支持实时触摸放大缩小、旋转，且能够对文件进行单独的控制、批注、全屏显示等操作。</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2.无线智能连接，可通过应用软件自动识别设备的无线信号实现智能连接，不需要手工绑定无线信号和手工搜寻无线信号输密码确认的复杂过程。</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3.软件支持故障自检功能，帮助用户检测“无画面”的原因，并给出引导性的修复和解决方案，可判断连接线和硬件是否正常、解码器、显卡驱动、检查摄像头是否被其他软件占用等问题。</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4.软件自带虚拟黑板功能，通过截取展示图像的某一重点内容在虚拟黑板模式下进行单独批注讲解，板书支持保存和二次打开、编辑，使授课变得简单轻松。</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5.图像功能：二维码扫描、屏幕录制、延迟5s10s拍照、聚光灯、负片、镜像、黑白、自动曝光等。                               </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七、集成：</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 1、含高清线及辅材</w:t>
            </w:r>
            <w:r/>
          </w:p>
          <w:p>
            <w:pPr>
              <w:pStyle w:val="939"/>
              <w:contextualSpacing/>
              <w:ind w:left="0" w:firstLine="0"/>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 2、设备安装调试</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3</w:t>
            </w:r>
            <w:r/>
          </w:p>
        </w:tc>
        <w:tc>
          <w:tcPr>
            <w:tcW w:w="1701" w:type="dxa"/>
            <w:vAlign w:val="center"/>
            <w:textDirection w:val="lrTb"/>
            <w:noWrap w:val="false"/>
          </w:tcPr>
          <w:p>
            <w:pPr>
              <w:widowControl/>
              <w:rPr>
                <w:color w:val="auto"/>
                <w:highlight w:val="none"/>
              </w:rPr>
            </w:pPr>
            <w:r>
              <w:rPr>
                <w:rFonts w:hint="eastAsia"/>
                <w:color w:val="auto"/>
                <w:highlight w:val="none"/>
              </w:rPr>
              <w:t xml:space="preserve">智慧教学设备3</w:t>
            </w:r>
            <w:r/>
          </w:p>
        </w:tc>
        <w:tc>
          <w:tcPr>
            <w:tcW w:w="7796" w:type="dxa"/>
            <w:vAlign w:val="center"/>
            <w:textDirection w:val="lrTb"/>
            <w:noWrap w:val="false"/>
          </w:tcPr>
          <w:p>
            <w:pPr>
              <w:contextualSpacing/>
              <w:rPr>
                <w:b/>
                <w:color w:val="auto"/>
                <w:sz w:val="21"/>
                <w:szCs w:val="21"/>
                <w:highlight w:val="none"/>
                <w:lang w:bidi="ar"/>
              </w:rPr>
            </w:pPr>
            <w:r>
              <w:rPr>
                <w:rFonts w:hint="eastAsia"/>
                <w:b/>
                <w:color w:val="auto"/>
                <w:sz w:val="21"/>
                <w:szCs w:val="21"/>
                <w:highlight w:val="none"/>
                <w:lang w:bidi="ar"/>
              </w:rPr>
              <w:t xml:space="preserve">一、显示设备</w:t>
            </w:r>
            <w:r/>
          </w:p>
          <w:p>
            <w:pPr>
              <w:contextualSpacing/>
              <w:rPr>
                <w:b/>
                <w:color w:val="auto"/>
                <w:sz w:val="21"/>
                <w:szCs w:val="21"/>
                <w:highlight w:val="none"/>
                <w:lang w:bidi="ar"/>
              </w:rPr>
            </w:pPr>
            <w:r>
              <w:rPr>
                <w:rFonts w:hint="eastAsia"/>
                <w:b/>
                <w:color w:val="auto"/>
                <w:sz w:val="21"/>
                <w:szCs w:val="21"/>
                <w:highlight w:val="none"/>
                <w:lang w:bidi="ar"/>
              </w:rPr>
              <w:t xml:space="preserve">整机设计要求：</w:t>
            </w:r>
            <w:r/>
          </w:p>
          <w:p>
            <w:pPr>
              <w:pStyle w:val="860"/>
              <w:contextualSpacing/>
              <w:ind w:left="0"/>
              <w:tabs>
                <w:tab w:val="left" w:pos="432" w:leader="none"/>
                <w:tab w:val="left" w:pos="575" w:leader="none"/>
              </w:tabs>
              <w:rPr>
                <w:b w:val="0"/>
                <w:color w:val="auto"/>
                <w:sz w:val="21"/>
                <w:szCs w:val="21"/>
                <w:highlight w:val="none"/>
                <w:lang w:bidi="ar"/>
              </w:rPr>
            </w:pPr>
            <w:r>
              <w:rPr>
                <w:rFonts w:hint="eastAsia"/>
                <w:b w:val="0"/>
                <w:color w:val="auto"/>
                <w:sz w:val="21"/>
                <w:szCs w:val="21"/>
                <w:highlight w:val="none"/>
                <w:lang w:bidi="ar"/>
              </w:rPr>
              <w:t xml:space="preserve">1、屏幕尺寸（对角线）≥86英寸，显示比例16:9，亮度≥350cd/m</w:t>
            </w:r>
            <w:r>
              <w:rPr>
                <w:rFonts w:hint="eastAsia"/>
                <w:b w:val="0"/>
                <w:color w:val="auto"/>
                <w:sz w:val="21"/>
                <w:szCs w:val="21"/>
                <w:highlight w:val="none"/>
                <w:vertAlign w:val="superscript"/>
                <w:lang w:bidi="ar"/>
              </w:rPr>
              <w:t xml:space="preserve">2</w:t>
            </w:r>
            <w:r>
              <w:rPr>
                <w:rFonts w:hint="eastAsia"/>
                <w:b w:val="0"/>
                <w:color w:val="auto"/>
                <w:sz w:val="21"/>
                <w:szCs w:val="21"/>
                <w:highlight w:val="none"/>
                <w:lang w:bidi="ar"/>
              </w:rPr>
              <w:t xml:space="preserve">，对比度≥4000：1，刷新率60Hz，可视角度≥178°，分辨率3840×2160，屏幕显示灰度等级≥1024灰阶。</w:t>
            </w:r>
            <w:r/>
          </w:p>
          <w:p>
            <w:pPr>
              <w:contextualSpacing/>
              <w:rPr>
                <w:color w:val="auto"/>
                <w:sz w:val="21"/>
                <w:szCs w:val="21"/>
                <w:highlight w:val="none"/>
                <w:lang w:bidi="ar"/>
              </w:rPr>
            </w:pPr>
            <w:r>
              <w:rPr>
                <w:rFonts w:hint="eastAsia"/>
                <w:color w:val="auto"/>
                <w:sz w:val="21"/>
                <w:szCs w:val="21"/>
                <w:highlight w:val="none"/>
                <w:lang w:bidi="ar"/>
              </w:rPr>
              <w:t xml:space="preserve">2、外观设计：三边无边框，全面屏设计。</w:t>
            </w:r>
            <w:r/>
          </w:p>
          <w:p>
            <w:pPr>
              <w:contextualSpacing/>
              <w:rPr>
                <w:color w:val="auto"/>
                <w:sz w:val="21"/>
                <w:szCs w:val="21"/>
                <w:highlight w:val="none"/>
              </w:rPr>
            </w:pPr>
            <w:r>
              <w:rPr>
                <w:rFonts w:hint="eastAsia"/>
                <w:color w:val="auto"/>
                <w:sz w:val="21"/>
                <w:szCs w:val="21"/>
                <w:highlight w:val="none"/>
                <w:lang w:bidi="ar"/>
              </w:rPr>
              <w:t xml:space="preserve">3</w:t>
            </w:r>
            <w:r>
              <w:rPr>
                <w:rFonts w:hint="eastAsia"/>
                <w:color w:val="auto"/>
                <w:sz w:val="21"/>
                <w:szCs w:val="21"/>
                <w:highlight w:val="none"/>
              </w:rPr>
              <w:t xml:space="preserve">、屏幕具备防眩光功能，表面雾度</w:t>
            </w:r>
            <w:r>
              <w:rPr>
                <w:color w:val="auto"/>
                <w:sz w:val="21"/>
                <w:szCs w:val="21"/>
                <w:highlight w:val="none"/>
              </w:rPr>
              <w:t xml:space="preserve">25%，防止由于室内灯光及室外光线对屏幕的产生反光现象，，同时减少由于长时间观看屏幕产生眼睛疲劳感</w:t>
            </w:r>
            <w:r>
              <w:rPr>
                <w:rFonts w:hint="eastAsia"/>
                <w:color w:val="auto"/>
                <w:sz w:val="21"/>
                <w:szCs w:val="21"/>
                <w:highlight w:val="none"/>
              </w:rPr>
              <w:t xml:space="preserve">。</w:t>
            </w:r>
            <w:r/>
          </w:p>
          <w:p>
            <w:pPr>
              <w:contextualSpacing/>
              <w:widowControl/>
              <w:rPr>
                <w:color w:val="auto"/>
                <w:sz w:val="21"/>
                <w:szCs w:val="21"/>
                <w:highlight w:val="none"/>
              </w:rPr>
            </w:pPr>
            <w:r>
              <w:rPr>
                <w:rFonts w:hint="eastAsia"/>
                <w:color w:val="auto"/>
                <w:sz w:val="21"/>
                <w:szCs w:val="21"/>
                <w:highlight w:val="none"/>
                <w:lang w:bidi="ar"/>
              </w:rPr>
              <w:t xml:space="preserve">4、</w:t>
            </w:r>
            <w:r>
              <w:rPr>
                <w:rFonts w:hint="eastAsia"/>
                <w:color w:val="auto"/>
                <w:sz w:val="21"/>
                <w:szCs w:val="21"/>
                <w:highlight w:val="none"/>
              </w:rPr>
              <w:t xml:space="preserve">整机输入端子：RJ45≥1路、</w:t>
            </w:r>
            <w:r>
              <w:rPr>
                <w:rFonts w:hint="eastAsia"/>
                <w:color w:val="auto"/>
                <w:sz w:val="21"/>
                <w:szCs w:val="21"/>
                <w:highlight w:val="none"/>
                <w:lang w:bidi="ar"/>
              </w:rPr>
              <w:t xml:space="preserve">USB3.0≥1路、USB2.0≥1路、非扩展HDMI IN≥2路、SPDIF OUT≥1路、Type-C≥1路、RS232≥1路。支持外接中控系统控制整机。</w:t>
            </w:r>
            <w:r/>
          </w:p>
          <w:p>
            <w:pPr>
              <w:pStyle w:val="860"/>
              <w:contextualSpacing/>
              <w:ind w:left="0"/>
              <w:tabs>
                <w:tab w:val="left" w:pos="432" w:leader="none"/>
                <w:tab w:val="left" w:pos="575" w:leader="none"/>
              </w:tabs>
              <w:rPr>
                <w:b w:val="0"/>
                <w:color w:val="auto"/>
                <w:sz w:val="21"/>
                <w:szCs w:val="21"/>
                <w:highlight w:val="none"/>
              </w:rPr>
            </w:pPr>
            <w:r>
              <w:rPr>
                <w:rFonts w:hint="eastAsia"/>
                <w:b w:val="0"/>
                <w:color w:val="auto"/>
                <w:sz w:val="21"/>
                <w:szCs w:val="21"/>
                <w:highlight w:val="none"/>
              </w:rPr>
              <w:t xml:space="preserve">5、支持使用遥控器和实体电源键开机，且开机无任何广告。</w:t>
            </w:r>
            <w:r/>
          </w:p>
          <w:p>
            <w:pPr>
              <w:contextualSpacing/>
              <w:rPr>
                <w:b/>
                <w:color w:val="auto"/>
                <w:sz w:val="21"/>
                <w:szCs w:val="21"/>
                <w:highlight w:val="none"/>
                <w:lang w:bidi="ar"/>
              </w:rPr>
            </w:pPr>
            <w:r>
              <w:rPr>
                <w:rFonts w:hint="eastAsia"/>
                <w:b/>
                <w:color w:val="auto"/>
                <w:sz w:val="21"/>
                <w:szCs w:val="21"/>
                <w:highlight w:val="none"/>
                <w:lang w:bidi="ar"/>
              </w:rPr>
              <w:t xml:space="preserve">嵌入式系统功能配置：</w:t>
            </w:r>
            <w:r/>
          </w:p>
          <w:p>
            <w:pPr>
              <w:contextualSpacing/>
              <w:widowControl/>
              <w:rPr>
                <w:color w:val="auto"/>
                <w:sz w:val="21"/>
                <w:szCs w:val="21"/>
                <w:highlight w:val="none"/>
                <w:lang w:bidi="ar"/>
              </w:rPr>
            </w:pPr>
            <w:r>
              <w:rPr>
                <w:rFonts w:hint="eastAsia"/>
                <w:color w:val="auto"/>
                <w:sz w:val="21"/>
                <w:szCs w:val="21"/>
                <w:highlight w:val="none"/>
                <w:lang w:bidi="ar"/>
              </w:rPr>
              <w:t xml:space="preserve">1、系统配置：系统版本≥Android 11.0，内存（RAM）≥3G，存储空间（ROM）≥32G。</w:t>
            </w:r>
            <w:r/>
          </w:p>
          <w:p>
            <w:pPr>
              <w:contextualSpacing/>
              <w:widowControl/>
              <w:rPr>
                <w:color w:val="auto"/>
                <w:sz w:val="21"/>
                <w:szCs w:val="21"/>
                <w:highlight w:val="none"/>
                <w:lang w:bidi="ar"/>
              </w:rPr>
            </w:pPr>
            <w:r>
              <w:rPr>
                <w:rFonts w:hint="eastAsia"/>
                <w:color w:val="auto"/>
                <w:sz w:val="21"/>
                <w:szCs w:val="21"/>
                <w:highlight w:val="none"/>
                <w:lang w:bidi="ar"/>
              </w:rPr>
              <w:t xml:space="preserve">2、HDMI设备控制：支持智屏跟随HDMI设备进行开机，智屏跟随HDMI设备进行待机，HDMI设备跟随智屏待机。  </w:t>
            </w:r>
            <w:r/>
          </w:p>
          <w:p>
            <w:pPr>
              <w:contextualSpacing/>
              <w:rPr>
                <w:b/>
                <w:color w:val="auto"/>
                <w:sz w:val="21"/>
                <w:szCs w:val="21"/>
                <w:highlight w:val="none"/>
                <w:lang w:bidi="ar"/>
              </w:rPr>
            </w:pPr>
            <w:r>
              <w:rPr>
                <w:rFonts w:hint="eastAsia"/>
                <w:b/>
                <w:color w:val="auto"/>
                <w:sz w:val="21"/>
                <w:szCs w:val="21"/>
                <w:highlight w:val="none"/>
                <w:lang w:bidi="ar"/>
              </w:rPr>
              <w:t xml:space="preserve">嵌入式系统投屏功能</w:t>
            </w:r>
            <w:r/>
          </w:p>
          <w:p>
            <w:pPr>
              <w:contextualSpacing/>
              <w:widowControl/>
              <w:rPr>
                <w:color w:val="auto"/>
                <w:sz w:val="21"/>
                <w:szCs w:val="21"/>
                <w:highlight w:val="none"/>
                <w:lang w:bidi="ar"/>
              </w:rPr>
            </w:pPr>
            <w:r>
              <w:rPr>
                <w:rFonts w:hint="eastAsia"/>
                <w:color w:val="auto"/>
                <w:sz w:val="21"/>
                <w:szCs w:val="21"/>
                <w:highlight w:val="none"/>
                <w:lang w:bidi="ar"/>
              </w:rPr>
              <w:t xml:space="preserve">1、支持基于HDMI 物理线缆实现电脑终端有线投屏。</w:t>
            </w:r>
            <w:r/>
          </w:p>
          <w:p>
            <w:pPr>
              <w:contextualSpacing/>
              <w:widowControl/>
              <w:rPr>
                <w:color w:val="auto"/>
                <w:sz w:val="21"/>
                <w:szCs w:val="21"/>
                <w:highlight w:val="none"/>
                <w:lang w:bidi="ar"/>
              </w:rPr>
            </w:pPr>
            <w:r>
              <w:rPr>
                <w:rFonts w:hint="eastAsia"/>
                <w:color w:val="auto"/>
                <w:sz w:val="21"/>
                <w:szCs w:val="21"/>
                <w:highlight w:val="none"/>
                <w:lang w:bidi="ar"/>
              </w:rPr>
              <w:t xml:space="preserve">2、内置无线传屏接收端，无需外接接收部件，无线传屏发射器与整机匹配后即可实现传屏功能，将外部电脑（Windows , Mac Os及国产操作系统）、手机、PAD的屏幕画面及声音通过无线方式传输到整机上显示及播放。支持在加密模式下实现点对点投屏，保证投屏不受其它设备的干扰和数据安全。</w:t>
            </w:r>
            <w:r/>
          </w:p>
          <w:p>
            <w:pPr>
              <w:contextualSpacing/>
              <w:rPr>
                <w:color w:val="auto"/>
                <w:sz w:val="21"/>
                <w:szCs w:val="21"/>
                <w:highlight w:val="none"/>
                <w:lang w:bidi="ar"/>
              </w:rPr>
            </w:pPr>
            <w:r>
              <w:rPr>
                <w:rFonts w:hint="eastAsia"/>
                <w:color w:val="auto"/>
                <w:sz w:val="21"/>
                <w:szCs w:val="21"/>
                <w:highlight w:val="none"/>
                <w:lang w:bidi="ar"/>
              </w:rPr>
              <w:t xml:space="preserve">3、</w:t>
            </w:r>
            <w:r>
              <w:rPr>
                <w:color w:val="auto"/>
                <w:sz w:val="21"/>
                <w:szCs w:val="21"/>
                <w:highlight w:val="none"/>
              </w:rPr>
              <w:t xml:space="preserve">整机支持至少11种投屏方式，Android客户端投屏、iOS客户端投屏、Windows客户端投屏、MacOS客户端投屏、Airpaly投屏、DLNA投屏、Miracast投屏、Chromecast投屏、Webcast投屏、USB投屏器投屏及Type-C投屏器投屏。</w:t>
            </w:r>
            <w:r/>
          </w:p>
          <w:p>
            <w:pPr>
              <w:pStyle w:val="860"/>
              <w:contextualSpacing/>
              <w:ind w:left="0"/>
              <w:tabs>
                <w:tab w:val="left" w:pos="432" w:leader="none"/>
                <w:tab w:val="left" w:pos="575" w:leader="none"/>
              </w:tabs>
              <w:rPr>
                <w:color w:val="auto"/>
                <w:sz w:val="21"/>
                <w:szCs w:val="21"/>
                <w:highlight w:val="none"/>
              </w:rPr>
            </w:pPr>
            <w:r>
              <w:rPr>
                <w:rFonts w:hint="eastAsia"/>
                <w:color w:val="auto"/>
                <w:sz w:val="21"/>
                <w:szCs w:val="21"/>
                <w:highlight w:val="none"/>
              </w:rPr>
              <w:t xml:space="preserve">集控管理平台</w:t>
            </w:r>
            <w:r/>
          </w:p>
          <w:p>
            <w:pPr>
              <w:contextualSpacing/>
              <w:widowControl/>
              <w:rPr>
                <w:color w:val="auto"/>
                <w:sz w:val="21"/>
                <w:szCs w:val="21"/>
                <w:highlight w:val="none"/>
                <w:lang w:bidi="ar"/>
              </w:rPr>
            </w:pPr>
            <w:r>
              <w:rPr>
                <w:rFonts w:hint="eastAsia"/>
                <w:color w:val="auto"/>
                <w:sz w:val="21"/>
                <w:szCs w:val="21"/>
                <w:highlight w:val="none"/>
              </w:rPr>
              <w:t xml:space="preserve">1、集</w:t>
            </w:r>
            <w:r>
              <w:rPr>
                <w:rFonts w:hint="eastAsia"/>
                <w:color w:val="auto"/>
                <w:sz w:val="21"/>
                <w:szCs w:val="21"/>
                <w:highlight w:val="none"/>
                <w:lang w:bidi="ar"/>
              </w:rPr>
              <w:t xml:space="preserve">控管理平台支持B/S、C/S架构，可根据用户需求实现本地部署或云端部署；</w:t>
            </w:r>
            <w:r/>
          </w:p>
          <w:p>
            <w:pPr>
              <w:contextualSpacing/>
              <w:widowControl/>
              <w:rPr>
                <w:color w:val="auto"/>
                <w:sz w:val="21"/>
                <w:szCs w:val="21"/>
                <w:highlight w:val="none"/>
              </w:rPr>
            </w:pPr>
            <w:r>
              <w:rPr>
                <w:rFonts w:hint="eastAsia"/>
                <w:color w:val="auto"/>
                <w:sz w:val="21"/>
                <w:szCs w:val="21"/>
                <w:highlight w:val="none"/>
                <w:lang w:bidi="ar"/>
              </w:rPr>
              <w:t xml:space="preserve">2、提供远程控制、设备管理功能，实时采集设备运行数据，分析设备使用、分布情况。</w:t>
            </w:r>
            <w:r/>
          </w:p>
          <w:p>
            <w:pPr>
              <w:contextualSpacing/>
              <w:rPr>
                <w:bCs/>
                <w:color w:val="auto"/>
                <w:sz w:val="21"/>
                <w:szCs w:val="21"/>
                <w:highlight w:val="none"/>
              </w:rPr>
            </w:pPr>
            <w:r>
              <w:rPr>
                <w:rFonts w:hint="eastAsia"/>
                <w:bCs/>
                <w:color w:val="auto"/>
                <w:sz w:val="21"/>
                <w:szCs w:val="21"/>
                <w:highlight w:val="none"/>
              </w:rPr>
              <w:t xml:space="preserve">二、配书写黑板：</w:t>
            </w:r>
            <w:r/>
          </w:p>
          <w:p>
            <w:pPr>
              <w:contextualSpacing/>
              <w:rPr>
                <w:color w:val="auto"/>
                <w:sz w:val="21"/>
                <w:szCs w:val="21"/>
                <w:highlight w:val="none"/>
              </w:rPr>
            </w:pPr>
            <w:r>
              <w:rPr>
                <w:rFonts w:hint="eastAsia"/>
                <w:color w:val="auto"/>
                <w:sz w:val="21"/>
                <w:szCs w:val="21"/>
                <w:highlight w:val="none"/>
              </w:rPr>
              <w:t xml:space="preserve">整体结构：由一块安装于一体机侧面的固定黑板组成，整体包边。</w:t>
            </w:r>
            <w:r/>
          </w:p>
          <w:p>
            <w:pPr>
              <w:contextualSpacing/>
              <w:rPr>
                <w:color w:val="auto"/>
                <w:sz w:val="21"/>
                <w:szCs w:val="21"/>
                <w:highlight w:val="none"/>
              </w:rPr>
            </w:pPr>
            <w:r>
              <w:rPr>
                <w:rFonts w:hint="eastAsia"/>
                <w:color w:val="auto"/>
                <w:sz w:val="21"/>
                <w:szCs w:val="21"/>
                <w:highlight w:val="none"/>
              </w:rPr>
              <w:t xml:space="preserve">整体尺寸：4000*1200mm（可根据现场情况进行调整）。</w:t>
            </w:r>
            <w:r/>
          </w:p>
          <w:p>
            <w:pPr>
              <w:contextualSpacing/>
              <w:rPr>
                <w:color w:val="auto"/>
                <w:sz w:val="21"/>
                <w:szCs w:val="21"/>
                <w:highlight w:val="none"/>
              </w:rPr>
            </w:pPr>
            <w:r>
              <w:rPr>
                <w:rFonts w:hint="eastAsia"/>
                <w:color w:val="auto"/>
                <w:sz w:val="21"/>
                <w:szCs w:val="21"/>
                <w:highlight w:val="none"/>
              </w:rPr>
              <w:t xml:space="preserve">黑板材质：</w:t>
            </w:r>
            <w:r/>
          </w:p>
          <w:p>
            <w:pPr>
              <w:contextualSpacing/>
              <w:rPr>
                <w:color w:val="auto"/>
                <w:sz w:val="21"/>
                <w:szCs w:val="21"/>
                <w:highlight w:val="none"/>
              </w:rPr>
            </w:pPr>
            <w:r>
              <w:rPr>
                <w:rFonts w:hint="eastAsia"/>
                <w:color w:val="auto"/>
                <w:sz w:val="21"/>
                <w:szCs w:val="21"/>
                <w:highlight w:val="none"/>
              </w:rPr>
              <w:t xml:space="preserve">1、面板、背板、夹层：</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（1）书写面板采用搪瓷面板，覆有透明保护膜，整块无拼接，厚度≥</w:t>
            </w:r>
            <w:r>
              <w:rPr>
                <w:rFonts w:asciiTheme="minorEastAsia" w:hAnsiTheme="minorEastAsia" w:eastAsiaTheme="minorEastAsia"/>
                <w:color w:val="auto"/>
                <w:sz w:val="21"/>
                <w:szCs w:val="21"/>
                <w:highlight w:val="none"/>
              </w:rPr>
              <w:t xml:space="preserve">0.4mm，表面硬度达到莫氏6度，书写性和擦拭性符合GB/T37773-2019《书写板钢板搪瓷》标准</w:t>
            </w:r>
            <w:r>
              <w:rPr>
                <w:rFonts w:hint="eastAsia" w:asciiTheme="minorEastAsia" w:hAnsiTheme="minorEastAsia" w:eastAsiaTheme="minorEastAsia"/>
                <w:color w:val="auto"/>
                <w:sz w:val="21"/>
                <w:szCs w:val="21"/>
                <w:highlight w:val="none"/>
              </w:rPr>
              <w:t xml:space="preserve">。</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）夹层采用聚苯乙烯板，软硬适中，厚度为≥</w:t>
            </w:r>
            <w:r>
              <w:rPr>
                <w:rFonts w:asciiTheme="minorEastAsia" w:hAnsiTheme="minorEastAsia" w:eastAsiaTheme="minorEastAsia"/>
                <w:color w:val="auto"/>
                <w:sz w:val="21"/>
                <w:szCs w:val="21"/>
                <w:highlight w:val="none"/>
              </w:rPr>
              <w:t xml:space="preserve">14mm，平整不变形，整张无拼接</w:t>
            </w:r>
            <w:r>
              <w:rPr>
                <w:rFonts w:hint="eastAsia" w:asciiTheme="minorEastAsia" w:hAnsiTheme="minorEastAsia" w:eastAsiaTheme="minorEastAsia"/>
                <w:color w:val="auto"/>
                <w:sz w:val="21"/>
                <w:szCs w:val="21"/>
                <w:highlight w:val="none"/>
              </w:rPr>
              <w:t xml:space="preserve">。</w:t>
            </w:r>
            <w:r/>
          </w:p>
          <w:p>
            <w:pPr>
              <w:contextualSpacing/>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w:t>
            </w:r>
            <w:r>
              <w:rPr>
                <w:rFonts w:asciiTheme="minorEastAsia" w:hAnsiTheme="minorEastAsia" w:eastAsiaTheme="minorEastAsia"/>
                <w:color w:val="auto"/>
                <w:sz w:val="21"/>
                <w:szCs w:val="21"/>
                <w:highlight w:val="none"/>
              </w:rPr>
              <w:t xml:space="preserve">3</w:t>
            </w:r>
            <w:r>
              <w:rPr>
                <w:rFonts w:hint="eastAsia" w:asciiTheme="minorEastAsia" w:hAnsiTheme="minorEastAsia" w:eastAsiaTheme="minorEastAsia"/>
                <w:color w:val="auto"/>
                <w:sz w:val="21"/>
                <w:szCs w:val="21"/>
                <w:highlight w:val="none"/>
              </w:rPr>
              <w:t xml:space="preserve">）背板采用整块防锈镀锌板，厚度≥</w:t>
            </w:r>
            <w:r>
              <w:rPr>
                <w:rFonts w:asciiTheme="minorEastAsia" w:hAnsiTheme="minorEastAsia" w:eastAsiaTheme="minorEastAsia"/>
                <w:color w:val="auto"/>
                <w:sz w:val="21"/>
                <w:szCs w:val="21"/>
                <w:highlight w:val="none"/>
              </w:rPr>
              <w:t xml:space="preserve">0.20mm，与面板、夹层用自动生产线高压一次成型，粘合牢固耐冲击，防水防锈，板面平整不开胶。符合GB 28231-2011《书写板安全卫生要求》以及GB/T 6739-2022《色漆和清漆 铅笔法测定漆膜硬度》的标准要求</w:t>
            </w:r>
            <w:r>
              <w:rPr>
                <w:rFonts w:hint="eastAsia" w:asciiTheme="minorEastAsia" w:hAnsiTheme="minorEastAsia" w:eastAsiaTheme="minorEastAsia"/>
                <w:color w:val="auto"/>
                <w:sz w:val="21"/>
                <w:szCs w:val="21"/>
                <w:highlight w:val="none"/>
              </w:rPr>
              <w:t xml:space="preserve">。</w:t>
            </w:r>
            <w:r/>
          </w:p>
          <w:p>
            <w:pPr>
              <w:contextualSpacing/>
              <w:rPr>
                <w:color w:val="auto"/>
                <w:sz w:val="21"/>
                <w:szCs w:val="21"/>
                <w:highlight w:val="none"/>
              </w:rPr>
            </w:pPr>
            <w:r>
              <w:rPr>
                <w:rFonts w:hint="eastAsia"/>
                <w:color w:val="auto"/>
                <w:sz w:val="21"/>
                <w:szCs w:val="21"/>
                <w:highlight w:val="none"/>
              </w:rPr>
              <w:t xml:space="preserve">2、外框：</w:t>
            </w:r>
            <w:r/>
          </w:p>
          <w:p>
            <w:pPr>
              <w:contextualSpacing/>
              <w:rPr>
                <w:color w:val="auto"/>
                <w:sz w:val="21"/>
                <w:szCs w:val="21"/>
                <w:highlight w:val="none"/>
              </w:rPr>
            </w:pPr>
            <w:r>
              <w:rPr>
                <w:rFonts w:hint="eastAsia"/>
                <w:color w:val="auto"/>
                <w:sz w:val="21"/>
                <w:szCs w:val="21"/>
                <w:highlight w:val="none"/>
              </w:rPr>
              <w:t xml:space="preserve">采用磨砂银白铝合金型材；型材断面有</w:t>
            </w:r>
            <w:r>
              <w:rPr>
                <w:color w:val="auto"/>
                <w:sz w:val="21"/>
                <w:szCs w:val="21"/>
                <w:highlight w:val="none"/>
              </w:rPr>
              <w:t xml:space="preserve">ABS包角材料全包覆，边缘光洁无毛刺；采用超窄铝合金材，有效增加书写板书写面积。</w:t>
            </w:r>
            <w:r/>
          </w:p>
          <w:p>
            <w:pPr>
              <w:contextualSpacing/>
              <w:rPr>
                <w:color w:val="auto"/>
                <w:sz w:val="21"/>
                <w:szCs w:val="21"/>
                <w:highlight w:val="none"/>
              </w:rPr>
            </w:pPr>
            <w:r>
              <w:rPr>
                <w:rFonts w:hint="eastAsia"/>
                <w:color w:val="auto"/>
                <w:sz w:val="21"/>
                <w:szCs w:val="21"/>
                <w:highlight w:val="none"/>
              </w:rPr>
              <w:t xml:space="preserve">3、包角材料：</w:t>
            </w:r>
            <w:r/>
          </w:p>
          <w:p>
            <w:pPr>
              <w:contextualSpacing/>
              <w:rPr>
                <w:color w:val="auto"/>
                <w:sz w:val="21"/>
                <w:szCs w:val="21"/>
                <w:highlight w:val="none"/>
              </w:rPr>
            </w:pPr>
            <w:r>
              <w:rPr>
                <w:rFonts w:hint="eastAsia"/>
                <w:color w:val="auto"/>
                <w:sz w:val="21"/>
                <w:szCs w:val="21"/>
                <w:highlight w:val="none"/>
              </w:rPr>
              <w:t xml:space="preserve">采用抗疲劳ABS工程塑料，模具成型，无锐角，边框与书写面板的固定。</w:t>
            </w:r>
            <w:r/>
          </w:p>
          <w:p>
            <w:pPr>
              <w:contextualSpacing/>
              <w:rPr>
                <w:color w:val="auto"/>
                <w:sz w:val="21"/>
                <w:szCs w:val="21"/>
                <w:highlight w:val="none"/>
              </w:rPr>
            </w:pPr>
            <w:r>
              <w:rPr>
                <w:rFonts w:hint="eastAsia"/>
                <w:color w:val="auto"/>
                <w:sz w:val="21"/>
                <w:szCs w:val="21"/>
                <w:highlight w:val="none"/>
              </w:rPr>
              <w:t xml:space="preserve">4、安装要求：隐形安装，无外露安装件；书写板与一体机平齐，两侧有铝合金侧封板，连接部位无工具不可拆卸。</w:t>
            </w:r>
            <w:r/>
          </w:p>
          <w:p>
            <w:pPr>
              <w:pStyle w:val="921"/>
              <w:contextualSpacing/>
              <w:ind w:left="0" w:firstLine="0"/>
              <w:spacing w:after="0" w:line="240" w:lineRule="auto"/>
              <w:rPr>
                <w:rFonts w:hAnsi="宋体"/>
                <w:color w:val="auto"/>
                <w:sz w:val="21"/>
                <w:szCs w:val="21"/>
                <w:highlight w:val="none"/>
              </w:rPr>
            </w:pPr>
            <w:r>
              <w:rPr>
                <w:rFonts w:hint="eastAsia" w:hAnsi="宋体"/>
                <w:color w:val="auto"/>
                <w:sz w:val="21"/>
                <w:szCs w:val="21"/>
                <w:highlight w:val="none"/>
              </w:rPr>
              <w:t xml:space="preserve">三、中央控制系统：</w:t>
            </w:r>
            <w:r/>
          </w:p>
          <w:p>
            <w:pPr>
              <w:pStyle w:val="920"/>
              <w:contextualSpacing/>
              <w:ind w:firstLine="0"/>
              <w:spacing w:after="0"/>
              <w:rPr>
                <w:color w:val="auto"/>
                <w:sz w:val="21"/>
                <w:szCs w:val="21"/>
                <w:highlight w:val="none"/>
              </w:rPr>
            </w:pPr>
            <w:r>
              <w:rPr>
                <w:rFonts w:hint="eastAsia"/>
                <w:color w:val="auto"/>
                <w:sz w:val="21"/>
                <w:szCs w:val="21"/>
                <w:highlight w:val="none"/>
              </w:rPr>
              <w:t xml:space="preserve">1.前面板需具有LCD显示屏，通过旋钮可选择、设置菜单、查看主机IP地址及设备版本信息等；需内置Web Server，可通过浏览器访问主机进行参数设置和管理。</w:t>
            </w:r>
            <w:r/>
          </w:p>
          <w:p>
            <w:pPr>
              <w:pStyle w:val="920"/>
              <w:contextualSpacing/>
              <w:ind w:firstLine="0"/>
              <w:spacing w:after="0"/>
              <w:rPr>
                <w:color w:val="auto"/>
                <w:sz w:val="21"/>
                <w:szCs w:val="21"/>
                <w:highlight w:val="none"/>
              </w:rPr>
            </w:pPr>
            <w:r>
              <w:rPr>
                <w:rFonts w:hint="eastAsia"/>
                <w:color w:val="auto"/>
                <w:sz w:val="21"/>
                <w:szCs w:val="21"/>
                <w:highlight w:val="none"/>
              </w:rPr>
              <w:t xml:space="preserve">2.需内不少于5口千兆网交换机，支持VLAN设置，可分别连接局域网、广域网，满足不同应用环境需求。 </w:t>
            </w:r>
            <w:r/>
          </w:p>
          <w:p>
            <w:pPr>
              <w:pStyle w:val="920"/>
              <w:contextualSpacing/>
              <w:ind w:firstLine="0"/>
              <w:spacing w:after="0"/>
              <w:rPr>
                <w:color w:val="auto"/>
                <w:sz w:val="21"/>
                <w:szCs w:val="21"/>
                <w:highlight w:val="none"/>
              </w:rPr>
            </w:pPr>
            <w:r>
              <w:rPr>
                <w:rFonts w:hint="eastAsia"/>
                <w:color w:val="auto"/>
                <w:sz w:val="21"/>
                <w:szCs w:val="21"/>
                <w:highlight w:val="none"/>
              </w:rPr>
              <w:t xml:space="preserve">3.需内置HDMI矩阵，≥4路HDMI输入接口，≥4路HDMI输出接口，支持HDMI1.4标准、HDCP1.4，最高分辨率为3840*2160/30Hz；≥4路单刀双掷开关控制端口（3PIN凤凰端子），用以控制门禁开关或环境装置，如窗帘的开/闭，投影机的升/降，灯光开/关等；≥6路可编程RS232通信串口，其中4路为3PIN凤凰端子，另外2路为4PIN凤凰端子（含12V DC供电）；≥1路可编辑RS485通信串口（4PIN凤凰端子），带12V DC供电。</w:t>
            </w:r>
            <w:r/>
          </w:p>
          <w:p>
            <w:pPr>
              <w:pStyle w:val="920"/>
              <w:contextualSpacing/>
              <w:ind w:firstLine="0"/>
              <w:spacing w:after="0"/>
              <w:rPr>
                <w:color w:val="auto"/>
                <w:sz w:val="21"/>
                <w:szCs w:val="21"/>
                <w:highlight w:val="none"/>
              </w:rPr>
            </w:pPr>
            <w:r>
              <w:rPr>
                <w:rFonts w:hint="eastAsia"/>
                <w:color w:val="auto"/>
                <w:sz w:val="21"/>
                <w:szCs w:val="21"/>
                <w:highlight w:val="none"/>
              </w:rPr>
              <w:t xml:space="preserve">4.需集成4路IR红外发射器接口，用于连接红外发射棒以控制红外遥控设备，如空调、电视机等。</w:t>
            </w:r>
            <w:r/>
          </w:p>
          <w:p>
            <w:pPr>
              <w:pStyle w:val="920"/>
              <w:contextualSpacing/>
              <w:ind w:firstLine="0"/>
              <w:spacing w:after="0"/>
              <w:rPr>
                <w:color w:val="auto"/>
                <w:sz w:val="21"/>
                <w:szCs w:val="21"/>
                <w:highlight w:val="none"/>
              </w:rPr>
            </w:pPr>
            <w:r>
              <w:rPr>
                <w:rFonts w:hint="eastAsia"/>
                <w:color w:val="auto"/>
                <w:sz w:val="21"/>
                <w:szCs w:val="21"/>
                <w:highlight w:val="none"/>
              </w:rPr>
              <w:t xml:space="preserve">5.需集成不少于2路DI输入（最大输入电平12V DC），可实现探测开关量信号，驱动中控执行场景动作开关，如继电器开锁、开关环境灯、开关电源、上课等指令。</w:t>
            </w:r>
            <w:r/>
          </w:p>
          <w:p>
            <w:pPr>
              <w:pStyle w:val="920"/>
              <w:contextualSpacing/>
              <w:ind w:firstLine="0"/>
              <w:spacing w:after="0"/>
              <w:rPr>
                <w:color w:val="auto"/>
                <w:sz w:val="21"/>
                <w:szCs w:val="21"/>
                <w:highlight w:val="none"/>
              </w:rPr>
            </w:pPr>
            <w:r>
              <w:rPr>
                <w:rFonts w:hint="eastAsia"/>
                <w:color w:val="auto"/>
                <w:sz w:val="21"/>
                <w:szCs w:val="21"/>
                <w:highlight w:val="none"/>
              </w:rPr>
              <w:t xml:space="preserve">6.需集成不少于2个USBType-C输入，用于连接台式机、笔记本电脑等；≥4路USB Type-A输出，可用于连接交互书写显示器、单/双屏智慧黑板等设备;≥2路USB Type-A接口（DC5V、2A供电），用于连接充电座、 无线投屏等设备；≥1路USB Type-C接口，连接电脑，通过内置网页启用数字音频输入功能，具有虚拟键盘功能，可用于控制电脑关机、系统音量及PPT翻页；≥1路USB接口，支持刷卡上课功能。</w:t>
            </w:r>
            <w:r/>
          </w:p>
          <w:p>
            <w:pPr>
              <w:pStyle w:val="920"/>
              <w:contextualSpacing/>
              <w:ind w:firstLine="0"/>
              <w:spacing w:after="0"/>
              <w:rPr>
                <w:color w:val="auto"/>
                <w:sz w:val="21"/>
                <w:szCs w:val="21"/>
                <w:highlight w:val="none"/>
              </w:rPr>
            </w:pPr>
            <w:r>
              <w:rPr>
                <w:rFonts w:hint="eastAsia"/>
                <w:color w:val="auto"/>
                <w:sz w:val="21"/>
                <w:szCs w:val="21"/>
                <w:highlight w:val="none"/>
              </w:rPr>
              <w:t xml:space="preserve">7.≥3路220V强电输出插座，可为投影机、电动幕布及其它教学设备供电。</w:t>
            </w:r>
            <w:r/>
          </w:p>
          <w:p>
            <w:pPr>
              <w:contextualSpacing/>
              <w:rPr>
                <w:color w:val="auto"/>
                <w:sz w:val="21"/>
                <w:szCs w:val="21"/>
                <w:highlight w:val="none"/>
              </w:rPr>
            </w:pPr>
            <w:r>
              <w:rPr>
                <w:rFonts w:hint="eastAsia"/>
                <w:color w:val="auto"/>
                <w:sz w:val="21"/>
                <w:szCs w:val="21"/>
                <w:highlight w:val="none"/>
              </w:rPr>
              <w:t xml:space="preserve">四、配套电视（分屏）：2台</w:t>
            </w:r>
            <w:r/>
          </w:p>
          <w:p>
            <w:pPr>
              <w:contextualSpacing/>
              <w:rPr>
                <w:color w:val="auto"/>
                <w:sz w:val="21"/>
                <w:szCs w:val="21"/>
                <w:highlight w:val="none"/>
              </w:rPr>
            </w:pPr>
            <w:r>
              <w:rPr>
                <w:rFonts w:hint="eastAsia"/>
                <w:color w:val="auto"/>
                <w:sz w:val="21"/>
                <w:szCs w:val="21"/>
                <w:highlight w:val="none"/>
              </w:rPr>
              <w:t xml:space="preserve">屏幕尺寸：65寸 </w:t>
            </w:r>
            <w:r/>
          </w:p>
          <w:p>
            <w:pPr>
              <w:contextualSpacing/>
              <w:rPr>
                <w:color w:val="auto"/>
                <w:sz w:val="21"/>
                <w:szCs w:val="21"/>
                <w:highlight w:val="none"/>
              </w:rPr>
            </w:pPr>
            <w:r>
              <w:rPr>
                <w:rFonts w:hint="eastAsia"/>
                <w:color w:val="auto"/>
                <w:sz w:val="21"/>
                <w:szCs w:val="21"/>
                <w:highlight w:val="none"/>
              </w:rPr>
              <w:t xml:space="preserve">屏幕分辨率：3840x2160 </w:t>
            </w:r>
            <w:r/>
          </w:p>
          <w:p>
            <w:pPr>
              <w:contextualSpacing/>
              <w:rPr>
                <w:color w:val="auto"/>
                <w:sz w:val="21"/>
                <w:szCs w:val="21"/>
                <w:highlight w:val="none"/>
              </w:rPr>
            </w:pPr>
            <w:r>
              <w:rPr>
                <w:rFonts w:hint="eastAsia"/>
                <w:color w:val="auto"/>
                <w:sz w:val="21"/>
                <w:szCs w:val="21"/>
                <w:highlight w:val="none"/>
              </w:rPr>
              <w:t xml:space="preserve">色彩度：12Bit，BT.2020 色相配色 </w:t>
            </w:r>
            <w:r/>
          </w:p>
          <w:p>
            <w:pPr>
              <w:contextualSpacing/>
              <w:rPr>
                <w:color w:val="auto"/>
                <w:sz w:val="21"/>
                <w:szCs w:val="21"/>
                <w:highlight w:val="none"/>
              </w:rPr>
            </w:pPr>
            <w:r>
              <w:rPr>
                <w:rFonts w:hint="eastAsia"/>
                <w:color w:val="auto"/>
                <w:sz w:val="21"/>
                <w:szCs w:val="21"/>
                <w:highlight w:val="none"/>
              </w:rPr>
              <w:t xml:space="preserve">使用寿命：80000小时以上 </w:t>
            </w:r>
            <w:r/>
          </w:p>
          <w:p>
            <w:pPr>
              <w:contextualSpacing/>
              <w:rPr>
                <w:color w:val="auto"/>
                <w:sz w:val="21"/>
                <w:szCs w:val="21"/>
                <w:highlight w:val="none"/>
              </w:rPr>
            </w:pPr>
            <w:r>
              <w:rPr>
                <w:rFonts w:hint="eastAsia"/>
                <w:color w:val="auto"/>
                <w:sz w:val="21"/>
                <w:szCs w:val="21"/>
                <w:highlight w:val="none"/>
              </w:rPr>
              <w:t xml:space="preserve">智能操作系统：具备智能、多功能操作界面、允许预置及安装第三方软件 </w:t>
            </w:r>
            <w:r/>
          </w:p>
          <w:p>
            <w:pPr>
              <w:contextualSpacing/>
              <w:rPr>
                <w:color w:val="auto"/>
                <w:sz w:val="21"/>
                <w:szCs w:val="21"/>
                <w:highlight w:val="none"/>
              </w:rPr>
            </w:pPr>
            <w:r>
              <w:rPr>
                <w:rFonts w:hint="eastAsia"/>
                <w:color w:val="auto"/>
                <w:sz w:val="21"/>
                <w:szCs w:val="21"/>
                <w:highlight w:val="none"/>
              </w:rPr>
              <w:t xml:space="preserve">含线材辅材：HDMI线，电源线，网线，线槽等。</w:t>
            </w:r>
            <w:r/>
          </w:p>
          <w:p>
            <w:pPr>
              <w:contextualSpacing/>
              <w:rPr>
                <w:color w:val="auto"/>
                <w:sz w:val="21"/>
                <w:szCs w:val="21"/>
                <w:highlight w:val="none"/>
              </w:rPr>
            </w:pPr>
            <w:r>
              <w:rPr>
                <w:rFonts w:hint="eastAsia"/>
                <w:color w:val="auto"/>
                <w:sz w:val="21"/>
                <w:szCs w:val="21"/>
                <w:highlight w:val="none"/>
              </w:rPr>
              <w:t xml:space="preserve">五、讲台：</w:t>
            </w:r>
            <w:r/>
          </w:p>
          <w:p>
            <w:pPr>
              <w:contextualSpacing/>
              <w:rPr>
                <w:color w:val="auto"/>
                <w:sz w:val="21"/>
                <w:szCs w:val="21"/>
                <w:highlight w:val="none"/>
              </w:rPr>
            </w:pPr>
            <w:r>
              <w:rPr>
                <w:rFonts w:hint="eastAsia"/>
                <w:color w:val="auto"/>
                <w:sz w:val="21"/>
                <w:szCs w:val="21"/>
                <w:highlight w:val="none"/>
              </w:rPr>
              <w:t xml:space="preserve">1、产品尺寸L*W*H（mm）：1200*810*1000mm(±5mm) ；桌面离地高度：900mm(±5mm)</w:t>
            </w:r>
            <w:r/>
          </w:p>
          <w:p>
            <w:pPr>
              <w:contextualSpacing/>
              <w:rPr>
                <w:rFonts w:asciiTheme="minorEastAsia" w:hAnsiTheme="minorEastAsia" w:eastAsiaTheme="minorEastAsia"/>
                <w:color w:val="auto"/>
                <w:sz w:val="21"/>
                <w:szCs w:val="21"/>
                <w:highlight w:val="none"/>
              </w:rPr>
            </w:pPr>
            <w:r>
              <w:rPr>
                <w:rFonts w:hint="eastAsia"/>
                <w:color w:val="auto"/>
                <w:sz w:val="21"/>
                <w:szCs w:val="21"/>
                <w:highlight w:val="none"/>
              </w:rPr>
              <w:t xml:space="preserve">2、钢木结合，</w:t>
            </w:r>
            <w:r>
              <w:rPr>
                <w:rFonts w:hint="eastAsia" w:asciiTheme="minorEastAsia" w:hAnsiTheme="minorEastAsia" w:eastAsiaTheme="minorEastAsia"/>
                <w:color w:val="auto"/>
                <w:sz w:val="21"/>
                <w:szCs w:val="21"/>
                <w:highlight w:val="none"/>
              </w:rPr>
              <w:t xml:space="preserve">讲桌上下层钣金采用1.0-2.0mm冷轧钢板。桌面采用18MM木质耐刮材料。</w:t>
            </w:r>
            <w:r/>
          </w:p>
          <w:p>
            <w:pPr>
              <w:contextualSpacing/>
              <w:rPr>
                <w:color w:val="auto"/>
                <w:sz w:val="21"/>
                <w:szCs w:val="21"/>
                <w:highlight w:val="none"/>
              </w:rPr>
            </w:pPr>
            <w:r>
              <w:rPr>
                <w:rFonts w:hint="eastAsia"/>
                <w:color w:val="auto"/>
                <w:sz w:val="21"/>
                <w:szCs w:val="21"/>
                <w:highlight w:val="none"/>
              </w:rPr>
              <w:t xml:space="preserve">3、桌面三侧采用包围式一体设计，围边采用木质弯曲工艺，围边材料为厚度15MM的木质材料；其中左右两侧围边采用模具一体成形，长570mm，宽370mm，高210mm，采用R100圆弧模具弯曲成型，围边的前面与侧面的角度成直角。侧面围边的扶手与桌面呈5°的夹角，围边的边角圆弧为R20：前面凸字形木围边衔接，尺寸为：698*270*15mm。</w:t>
            </w:r>
            <w:r/>
          </w:p>
          <w:p>
            <w:pPr>
              <w:contextualSpacing/>
              <w:rPr>
                <w:color w:val="auto"/>
                <w:sz w:val="21"/>
                <w:szCs w:val="21"/>
                <w:highlight w:val="none"/>
              </w:rPr>
            </w:pPr>
            <w:r>
              <w:rPr>
                <w:rFonts w:hint="eastAsia"/>
                <w:color w:val="auto"/>
                <w:sz w:val="21"/>
                <w:szCs w:val="21"/>
                <w:highlight w:val="none"/>
              </w:rPr>
              <w:t xml:space="preserve">4、布局设计：可选配支架臂；桌面左右侧整体平整设计，为教学教具提供更大放置区域；讲桌上层立面设计一个托腕式的键盘抽屉，抽屉尺寸：</w:t>
            </w:r>
            <w:r>
              <w:rPr>
                <w:rFonts w:hint="eastAsia" w:asciiTheme="minorEastAsia" w:hAnsiTheme="minorEastAsia" w:eastAsiaTheme="minorEastAsia"/>
                <w:color w:val="auto"/>
                <w:sz w:val="21"/>
                <w:szCs w:val="21"/>
                <w:highlight w:val="none"/>
              </w:rPr>
              <w:t xml:space="preserve">≥</w:t>
            </w:r>
            <w:r>
              <w:rPr>
                <w:rFonts w:hint="eastAsia"/>
                <w:color w:val="auto"/>
                <w:sz w:val="21"/>
                <w:szCs w:val="21"/>
                <w:highlight w:val="none"/>
              </w:rPr>
              <w:t xml:space="preserve">570*19</w:t>
            </w:r>
            <w:r>
              <w:rPr>
                <w:rFonts w:hint="eastAsia"/>
                <w:color w:val="auto"/>
                <w:sz w:val="21"/>
                <w:szCs w:val="21"/>
                <w:highlight w:val="none"/>
                <w:lang w:val="en-US"/>
              </w:rPr>
              <w:t xml:space="preserve">0</w:t>
            </w:r>
            <w:r>
              <w:rPr>
                <w:rFonts w:hint="eastAsia"/>
                <w:color w:val="auto"/>
                <w:sz w:val="21"/>
                <w:szCs w:val="21"/>
                <w:highlight w:val="none"/>
              </w:rPr>
              <w:t xml:space="preserve">*48mm，</w:t>
            </w:r>
            <w:r>
              <w:rPr>
                <w:rFonts w:hint="eastAsia"/>
                <w:bCs/>
                <w:color w:val="auto"/>
                <w:sz w:val="21"/>
                <w:szCs w:val="21"/>
                <w:highlight w:val="none"/>
                <w:lang w:eastAsia="zh-Hans"/>
              </w:rPr>
              <w:t xml:space="preserve">抽屉</w:t>
            </w:r>
            <w:r>
              <w:rPr>
                <w:rFonts w:hint="eastAsia"/>
                <w:color w:val="auto"/>
                <w:sz w:val="21"/>
                <w:szCs w:val="21"/>
                <w:highlight w:val="none"/>
              </w:rPr>
              <w:t xml:space="preserve">采用三节加厚钢珠静音导轨，材料厚度为1.2mm。</w:t>
            </w:r>
            <w:r/>
          </w:p>
          <w:p>
            <w:pPr>
              <w:contextualSpacing/>
              <w:rPr>
                <w:b/>
                <w:color w:val="auto"/>
                <w:sz w:val="21"/>
                <w:szCs w:val="21"/>
                <w:highlight w:val="none"/>
              </w:rPr>
            </w:pPr>
            <w:r>
              <w:rPr>
                <w:rFonts w:hint="eastAsia"/>
                <w:color w:val="auto"/>
                <w:sz w:val="21"/>
                <w:szCs w:val="21"/>
                <w:highlight w:val="none"/>
              </w:rPr>
              <w:t xml:space="preserve">5、</w:t>
            </w:r>
            <w:r>
              <w:rPr>
                <w:rFonts w:hint="eastAsia"/>
                <w:bCs/>
                <w:color w:val="auto"/>
                <w:sz w:val="21"/>
                <w:szCs w:val="21"/>
                <w:highlight w:val="none"/>
              </w:rPr>
              <w:t xml:space="preserve">所投产品使用的导轨</w:t>
            </w:r>
            <w:r>
              <w:rPr>
                <w:rFonts w:hint="eastAsia"/>
                <w:bCs/>
                <w:color w:val="auto"/>
                <w:sz w:val="21"/>
                <w:szCs w:val="21"/>
                <w:highlight w:val="none"/>
                <w:lang w:eastAsia="zh-Hans"/>
              </w:rPr>
              <w:t xml:space="preserve">检测结果符合</w:t>
            </w:r>
            <w:r>
              <w:rPr>
                <w:rFonts w:hint="eastAsia"/>
                <w:bCs/>
                <w:color w:val="auto"/>
                <w:sz w:val="21"/>
                <w:szCs w:val="21"/>
                <w:highlight w:val="none"/>
              </w:rPr>
              <w:t xml:space="preserve">GB/T 10125-2021</w:t>
            </w:r>
            <w:r>
              <w:rPr>
                <w:rFonts w:hint="eastAsia"/>
                <w:bCs/>
                <w:color w:val="auto"/>
                <w:sz w:val="21"/>
                <w:szCs w:val="21"/>
                <w:highlight w:val="none"/>
                <w:lang w:eastAsia="zh-Hans"/>
              </w:rPr>
              <w:t xml:space="preserve">《人造气氛腐蚀试验盐雾试验》、GB/T 6461-2002《金属基体上金属和其他无机覆盖层经腐蚀试验后的试样和试件的评级》检验要求，保护评级为RA为十级</w:t>
            </w:r>
            <w:r>
              <w:rPr>
                <w:rFonts w:hint="eastAsia"/>
                <w:bCs/>
                <w:color w:val="auto"/>
                <w:sz w:val="21"/>
                <w:szCs w:val="21"/>
                <w:highlight w:val="none"/>
              </w:rPr>
              <w:t xml:space="preserve">。</w:t>
            </w:r>
            <w:r/>
          </w:p>
          <w:p>
            <w:pPr>
              <w:pStyle w:val="939"/>
              <w:contextualSpacing/>
              <w:ind w:left="0" w:firstLine="0"/>
              <w:rPr>
                <w:color w:val="auto"/>
                <w:sz w:val="21"/>
                <w:szCs w:val="21"/>
                <w:highlight w:val="none"/>
              </w:rPr>
            </w:pPr>
            <w:r>
              <w:rPr>
                <w:rFonts w:hint="eastAsia"/>
                <w:color w:val="auto"/>
                <w:sz w:val="21"/>
                <w:szCs w:val="21"/>
                <w:highlight w:val="none"/>
              </w:rPr>
              <w:t xml:space="preserve">6、讲桌上层配有直径≥Φ80mm ABS材料的水杯架，深度≥80mm；可旋转角度≥90度，实现隐藏式安装。</w:t>
            </w:r>
            <w:r/>
          </w:p>
          <w:p>
            <w:pPr>
              <w:pStyle w:val="939"/>
              <w:contextualSpacing/>
              <w:ind w:left="0" w:firstLine="0"/>
              <w:rPr>
                <w:color w:val="auto"/>
                <w:sz w:val="21"/>
                <w:szCs w:val="21"/>
                <w:highlight w:val="none"/>
              </w:rPr>
            </w:pPr>
            <w:r>
              <w:rPr>
                <w:rFonts w:hint="eastAsia"/>
                <w:color w:val="auto"/>
                <w:sz w:val="21"/>
                <w:szCs w:val="21"/>
                <w:highlight w:val="none"/>
              </w:rPr>
              <w:t xml:space="preserve">7、下层机柜为标准钣金机架设计，机柜的安装空间不小于14U，机柜深度不低于440mm，配一块层板，前后都可以开门，方便维护。</w:t>
            </w:r>
            <w:r/>
          </w:p>
          <w:p>
            <w:pPr>
              <w:pStyle w:val="939"/>
              <w:contextualSpacing/>
              <w:ind w:left="0" w:firstLine="0"/>
              <w:rPr>
                <w:color w:val="auto"/>
                <w:sz w:val="21"/>
                <w:szCs w:val="21"/>
                <w:highlight w:val="none"/>
              </w:rPr>
            </w:pPr>
            <w:r>
              <w:rPr>
                <w:rFonts w:hint="eastAsia"/>
                <w:color w:val="auto"/>
                <w:sz w:val="21"/>
                <w:szCs w:val="21"/>
                <w:highlight w:val="none"/>
              </w:rPr>
              <w:t xml:space="preserve">8、下层前门配置机柜锁。底部预留300*160mm的过线孔，侧面四周均设置了进线孔，整体呈封闭式设计，防鼠，防虫，防垃圾积聚。</w:t>
            </w:r>
            <w:r/>
          </w:p>
          <w:p>
            <w:pPr>
              <w:pStyle w:val="939"/>
              <w:contextualSpacing/>
              <w:ind w:left="0" w:firstLine="0"/>
              <w:rPr>
                <w:color w:val="auto"/>
                <w:sz w:val="21"/>
                <w:szCs w:val="21"/>
                <w:highlight w:val="none"/>
              </w:rPr>
            </w:pPr>
            <w:r>
              <w:rPr>
                <w:rFonts w:hint="eastAsia"/>
                <w:color w:val="auto"/>
                <w:sz w:val="21"/>
                <w:szCs w:val="21"/>
                <w:highlight w:val="none"/>
              </w:rPr>
              <w:t xml:space="preserve">9、下层采用拆装式设计，减小运输空间，方便在各教室进行搬运。后门可以提供LOGO制作空间。</w:t>
            </w:r>
            <w:r/>
          </w:p>
          <w:p>
            <w:pPr>
              <w:contextualSpacing/>
              <w:rPr>
                <w:color w:val="auto"/>
                <w:sz w:val="21"/>
                <w:szCs w:val="21"/>
                <w:highlight w:val="none"/>
              </w:rPr>
            </w:pPr>
            <w:r>
              <w:rPr>
                <w:rFonts w:hint="eastAsia"/>
                <w:color w:val="auto"/>
                <w:sz w:val="21"/>
                <w:szCs w:val="21"/>
                <w:highlight w:val="none"/>
              </w:rPr>
              <w:t xml:space="preserve">六、集成：</w:t>
            </w:r>
            <w:r/>
          </w:p>
          <w:p>
            <w:pPr>
              <w:contextualSpacing/>
              <w:rPr>
                <w:color w:val="auto"/>
                <w:sz w:val="21"/>
                <w:szCs w:val="21"/>
                <w:highlight w:val="none"/>
              </w:rPr>
            </w:pPr>
            <w:r>
              <w:rPr>
                <w:rFonts w:hint="eastAsia"/>
                <w:color w:val="auto"/>
                <w:sz w:val="21"/>
                <w:szCs w:val="21"/>
                <w:highlight w:val="none"/>
              </w:rPr>
              <w:t xml:space="preserve">1、含高清线及辅材</w:t>
            </w:r>
            <w:r/>
          </w:p>
          <w:p>
            <w:pPr>
              <w:contextualSpacing/>
              <w:rPr>
                <w:color w:val="auto"/>
                <w:sz w:val="21"/>
                <w:szCs w:val="21"/>
                <w:highlight w:val="none"/>
              </w:rPr>
            </w:pPr>
            <w:r>
              <w:rPr>
                <w:rFonts w:hint="eastAsia"/>
                <w:color w:val="auto"/>
                <w:sz w:val="21"/>
                <w:szCs w:val="21"/>
                <w:highlight w:val="none"/>
              </w:rPr>
              <w:t xml:space="preserve">2、设备安装调试</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4</w:t>
            </w:r>
            <w:r/>
          </w:p>
        </w:tc>
        <w:tc>
          <w:tcPr>
            <w:tcW w:w="1701" w:type="dxa"/>
            <w:vAlign w:val="center"/>
            <w:textDirection w:val="lrTb"/>
            <w:noWrap w:val="false"/>
          </w:tcPr>
          <w:p>
            <w:pPr>
              <w:jc w:val="center"/>
              <w:widowControl/>
              <w:rPr>
                <w:color w:val="auto"/>
                <w:highlight w:val="none"/>
                <w:lang w:bidi="ar"/>
              </w:rPr>
            </w:pPr>
            <w:r>
              <w:rPr>
                <w:rFonts w:hint="eastAsia"/>
                <w:color w:val="auto"/>
                <w:highlight w:val="none"/>
                <w:lang w:bidi="ar"/>
              </w:rPr>
              <w:t xml:space="preserve">试剂柜</w:t>
            </w:r>
            <w:r/>
          </w:p>
        </w:tc>
        <w:tc>
          <w:tcPr>
            <w:tcW w:w="7796" w:type="dxa"/>
            <w:vAlign w:val="center"/>
            <w:textDirection w:val="lrTb"/>
            <w:noWrap w:val="false"/>
          </w:tcPr>
          <w:p>
            <w:pPr>
              <w:contextualSpacing/>
              <w:rPr>
                <w:bCs/>
                <w:color w:val="auto"/>
                <w:sz w:val="21"/>
                <w:szCs w:val="21"/>
                <w:highlight w:val="none"/>
              </w:rPr>
            </w:pPr>
            <w:r>
              <w:rPr>
                <w:rFonts w:hint="eastAsia"/>
                <w:bCs/>
                <w:color w:val="auto"/>
                <w:sz w:val="21"/>
                <w:szCs w:val="21"/>
                <w:highlight w:val="none"/>
              </w:rPr>
              <w:t xml:space="preserve">1、外部尺寸：H1800*W900*D450mm</w:t>
            </w:r>
            <w:r/>
          </w:p>
          <w:p>
            <w:pPr>
              <w:contextualSpacing/>
              <w:rPr>
                <w:bCs/>
                <w:color w:val="auto"/>
                <w:sz w:val="21"/>
                <w:szCs w:val="21"/>
                <w:highlight w:val="none"/>
              </w:rPr>
            </w:pPr>
            <w:r>
              <w:rPr>
                <w:rFonts w:hint="eastAsia"/>
                <w:bCs/>
                <w:color w:val="auto"/>
                <w:sz w:val="21"/>
                <w:szCs w:val="21"/>
                <w:highlight w:val="none"/>
              </w:rPr>
              <w:t xml:space="preserve">2、重量：</w:t>
            </w:r>
            <w:r>
              <w:rPr>
                <w:bCs/>
                <w:color w:val="auto"/>
                <w:sz w:val="21"/>
                <w:szCs w:val="21"/>
                <w:highlight w:val="none"/>
              </w:rPr>
              <w:t xml:space="preserve">50-60KG </w:t>
            </w:r>
            <w:r/>
          </w:p>
          <w:p>
            <w:pPr>
              <w:contextualSpacing/>
              <w:rPr>
                <w:bCs/>
                <w:color w:val="auto"/>
                <w:sz w:val="21"/>
                <w:szCs w:val="21"/>
                <w:highlight w:val="none"/>
              </w:rPr>
            </w:pPr>
            <w:r>
              <w:rPr>
                <w:rFonts w:hint="eastAsia"/>
                <w:bCs/>
                <w:color w:val="auto"/>
                <w:sz w:val="21"/>
                <w:szCs w:val="21"/>
                <w:highlight w:val="none"/>
              </w:rPr>
              <w:t xml:space="preserve">3、颜色：瓷白色</w:t>
            </w:r>
            <w:r/>
          </w:p>
          <w:p>
            <w:pPr>
              <w:contextualSpacing/>
              <w:rPr>
                <w:bCs/>
                <w:color w:val="auto"/>
                <w:sz w:val="21"/>
                <w:szCs w:val="21"/>
                <w:highlight w:val="none"/>
              </w:rPr>
            </w:pPr>
            <w:r>
              <w:rPr>
                <w:rFonts w:hint="eastAsia"/>
                <w:bCs/>
                <w:color w:val="auto"/>
                <w:sz w:val="21"/>
                <w:szCs w:val="21"/>
                <w:highlight w:val="none"/>
              </w:rPr>
              <w:t xml:space="preserve">4、柜体：采用≥8mm 瓷白色贴膜 PP（聚丙烯）制作，具有卓越的耐腐蚀性，前门框经同色焊条无缝焊接处理，保证柜体之坚固及密封性。</w:t>
            </w:r>
            <w:r/>
          </w:p>
          <w:p>
            <w:pPr>
              <w:contextualSpacing/>
              <w:rPr>
                <w:bCs/>
                <w:strike/>
                <w:color w:val="auto"/>
                <w:sz w:val="21"/>
                <w:szCs w:val="21"/>
                <w:highlight w:val="none"/>
              </w:rPr>
            </w:pPr>
            <w:r>
              <w:rPr>
                <w:rFonts w:hint="eastAsia"/>
                <w:bCs/>
                <w:color w:val="auto"/>
                <w:sz w:val="21"/>
                <w:szCs w:val="21"/>
                <w:highlight w:val="none"/>
              </w:rPr>
              <w:t xml:space="preserve">5、柜门：采用 15mm 瓷白色贴膜 PP（聚丙烯）整板制作。</w:t>
            </w:r>
            <w:r/>
          </w:p>
          <w:p>
            <w:pPr>
              <w:contextualSpacing/>
              <w:rPr>
                <w:bCs/>
                <w:strike/>
                <w:color w:val="auto"/>
                <w:sz w:val="21"/>
                <w:szCs w:val="21"/>
                <w:highlight w:val="none"/>
              </w:rPr>
            </w:pPr>
            <w:r>
              <w:rPr>
                <w:rFonts w:hint="eastAsia"/>
                <w:bCs/>
                <w:color w:val="auto"/>
                <w:sz w:val="21"/>
                <w:szCs w:val="21"/>
                <w:highlight w:val="none"/>
              </w:rPr>
              <w:t xml:space="preserve">6、层板：配两块可调层板，防腐蚀工艺材质要求，采用一次注塑成型 PP 聚丙烯（材质）制作，规格为 885mm*宽 370mm*高 60mm，表面波纹设计四边防水槽设计，底部有坚固防渗漏液体导管，接通管道有序排出漏液。</w:t>
            </w:r>
            <w:r/>
          </w:p>
          <w:p>
            <w:pPr>
              <w:contextualSpacing/>
              <w:rPr>
                <w:bCs/>
                <w:color w:val="auto"/>
                <w:sz w:val="21"/>
                <w:szCs w:val="21"/>
                <w:highlight w:val="none"/>
              </w:rPr>
            </w:pPr>
            <w:r>
              <w:rPr>
                <w:rFonts w:hint="eastAsia"/>
                <w:bCs/>
                <w:color w:val="auto"/>
                <w:sz w:val="21"/>
                <w:szCs w:val="21"/>
                <w:highlight w:val="none"/>
              </w:rPr>
              <w:t xml:space="preserve">7、锁具：耐腐蚀上下双锁配置</w:t>
            </w:r>
            <w:r/>
          </w:p>
          <w:p>
            <w:pPr>
              <w:contextualSpacing/>
              <w:rPr>
                <w:bCs/>
                <w:color w:val="auto"/>
                <w:sz w:val="21"/>
                <w:szCs w:val="21"/>
                <w:highlight w:val="none"/>
              </w:rPr>
            </w:pPr>
            <w:r>
              <w:rPr>
                <w:rFonts w:hint="eastAsia"/>
                <w:bCs/>
                <w:color w:val="auto"/>
                <w:sz w:val="21"/>
                <w:szCs w:val="21"/>
                <w:highlight w:val="none"/>
              </w:rPr>
              <w:t xml:space="preserve">8、防渗托盘：防腐蚀工艺材质要求，耐强酸强碱。</w:t>
            </w:r>
            <w:r/>
          </w:p>
          <w:p>
            <w:pPr>
              <w:contextualSpacing/>
              <w:rPr>
                <w:bCs/>
                <w:color w:val="auto"/>
                <w:sz w:val="21"/>
                <w:szCs w:val="21"/>
                <w:highlight w:val="none"/>
              </w:rPr>
            </w:pPr>
            <w:r>
              <w:rPr>
                <w:rFonts w:hint="eastAsia"/>
                <w:bCs/>
                <w:color w:val="auto"/>
                <w:sz w:val="21"/>
                <w:szCs w:val="21"/>
                <w:highlight w:val="none"/>
              </w:rPr>
              <w:t xml:space="preserve">9、把手、铰链和门吸：采用耐酸碱 PP（聚丙烯）材质，耐腐蚀性能好。</w:t>
            </w:r>
            <w:r/>
          </w:p>
          <w:p>
            <w:pPr>
              <w:contextualSpacing/>
              <w:rPr>
                <w:bCs/>
                <w:color w:val="auto"/>
                <w:sz w:val="21"/>
                <w:szCs w:val="21"/>
                <w:highlight w:val="none"/>
              </w:rPr>
            </w:pPr>
            <w:r>
              <w:rPr>
                <w:rFonts w:hint="eastAsia"/>
                <w:bCs/>
                <w:color w:val="auto"/>
                <w:sz w:val="21"/>
                <w:szCs w:val="21"/>
                <w:highlight w:val="none"/>
              </w:rPr>
              <w:t xml:space="preserve">1</w:t>
            </w:r>
            <w:r>
              <w:rPr>
                <w:bCs/>
                <w:color w:val="auto"/>
                <w:sz w:val="21"/>
                <w:szCs w:val="21"/>
                <w:highlight w:val="none"/>
              </w:rPr>
              <w:t xml:space="preserve">0</w:t>
            </w:r>
            <w:r>
              <w:rPr>
                <w:rFonts w:hint="eastAsia"/>
                <w:bCs/>
                <w:color w:val="auto"/>
                <w:sz w:val="21"/>
                <w:szCs w:val="21"/>
                <w:highlight w:val="none"/>
              </w:rPr>
              <w:t xml:space="preserve">、警示标签：柜门贴有醒目的“腐蚀性”警示标识，提醒周围人群注意安全。</w:t>
            </w:r>
            <w:r/>
          </w:p>
          <w:p>
            <w:pPr>
              <w:contextualSpacing/>
              <w:rPr>
                <w:bCs/>
                <w:strike/>
                <w:color w:val="auto"/>
                <w:sz w:val="21"/>
                <w:szCs w:val="21"/>
                <w:highlight w:val="none"/>
              </w:rPr>
            </w:pPr>
            <w:r>
              <w:rPr>
                <w:rFonts w:hint="eastAsia"/>
                <w:bCs/>
                <w:color w:val="auto"/>
                <w:sz w:val="21"/>
                <w:szCs w:val="21"/>
                <w:highlight w:val="none"/>
              </w:rPr>
              <w:t xml:space="preserve">▲1</w:t>
            </w:r>
            <w:r>
              <w:rPr>
                <w:bCs/>
                <w:color w:val="auto"/>
                <w:sz w:val="21"/>
                <w:szCs w:val="21"/>
                <w:highlight w:val="none"/>
              </w:rPr>
              <w:t xml:space="preserve">1</w:t>
            </w:r>
            <w:r>
              <w:rPr>
                <w:rFonts w:hint="eastAsia"/>
                <w:bCs/>
                <w:color w:val="auto"/>
                <w:sz w:val="21"/>
                <w:szCs w:val="21"/>
                <w:highlight w:val="none"/>
              </w:rPr>
              <w:t xml:space="preserve">、苯含量需达到未检出标准，甲苯含量≤</w:t>
            </w:r>
            <w:r>
              <w:rPr>
                <w:bCs/>
                <w:color w:val="auto"/>
                <w:sz w:val="21"/>
                <w:szCs w:val="21"/>
                <w:highlight w:val="none"/>
              </w:rPr>
              <w:t xml:space="preserve">0.07mg/m³</w:t>
            </w:r>
            <w:r>
              <w:rPr>
                <w:rFonts w:hint="eastAsia" w:asciiTheme="minorEastAsia" w:hAnsiTheme="minorEastAsia" w:eastAsiaTheme="minorEastAsia"/>
                <w:color w:val="auto"/>
                <w:sz w:val="21"/>
                <w:szCs w:val="21"/>
                <w:highlight w:val="none"/>
                <w:lang w:bidi="ar"/>
              </w:rPr>
              <w:t xml:space="preserve">（提供具有</w:t>
            </w:r>
            <w:r>
              <w:rPr>
                <w:rFonts w:asciiTheme="minorEastAsia" w:hAnsiTheme="minorEastAsia" w:eastAsiaTheme="minorEastAsia"/>
                <w:color w:val="auto"/>
                <w:sz w:val="21"/>
                <w:szCs w:val="21"/>
                <w:highlight w:val="none"/>
                <w:lang w:bidi="ar"/>
              </w:rPr>
              <w:t xml:space="preserve">CMA标识的第三方检测机构出具的检测报告复印件并加盖公章）</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5</w:t>
            </w:r>
            <w:r/>
          </w:p>
        </w:tc>
        <w:tc>
          <w:tcPr>
            <w:tcW w:w="1701" w:type="dxa"/>
            <w:vAlign w:val="center"/>
            <w:textDirection w:val="lrTb"/>
            <w:noWrap w:val="false"/>
          </w:tcPr>
          <w:p>
            <w:pPr>
              <w:jc w:val="center"/>
              <w:widowControl/>
              <w:rPr>
                <w:color w:val="auto"/>
                <w:highlight w:val="none"/>
                <w:lang w:bidi="ar"/>
              </w:rPr>
            </w:pPr>
            <w:r>
              <w:rPr>
                <w:rFonts w:hint="eastAsia"/>
                <w:color w:val="auto"/>
                <w:highlight w:val="none"/>
                <w:lang w:bidi="ar"/>
              </w:rPr>
              <w:t xml:space="preserve">防爆柜</w:t>
            </w:r>
            <w:r/>
          </w:p>
        </w:tc>
        <w:tc>
          <w:tcPr>
            <w:tcW w:w="7796" w:type="dxa"/>
            <w:vAlign w:val="center"/>
            <w:textDirection w:val="lrTb"/>
            <w:noWrap w:val="false"/>
          </w:tcPr>
          <w:p>
            <w:pPr>
              <w:pStyle w:val="939"/>
              <w:contextualSpacing/>
              <w:ind w:left="0" w:firstLine="0"/>
              <w:rPr>
                <w:bCs/>
                <w:strike/>
                <w:color w:val="auto"/>
                <w:sz w:val="21"/>
                <w:szCs w:val="21"/>
                <w:highlight w:val="none"/>
              </w:rPr>
            </w:pPr>
            <w:r>
              <w:rPr>
                <w:rFonts w:hint="eastAsia"/>
                <w:bCs/>
                <w:color w:val="auto"/>
                <w:sz w:val="21"/>
                <w:szCs w:val="21"/>
                <w:highlight w:val="none"/>
              </w:rPr>
              <w:t xml:space="preserve">1090×460×1650mm；双锁，钢板材质，防爆设计，适合存放易燃物。</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6</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万分之一天平</w:t>
            </w:r>
            <w:r/>
          </w:p>
        </w:tc>
        <w:tc>
          <w:tcPr>
            <w:tcW w:w="7796" w:type="dxa"/>
            <w:vAlign w:val="center"/>
            <w:textDirection w:val="lrTb"/>
            <w:noWrap w:val="false"/>
          </w:tcPr>
          <w:p>
            <w:pPr>
              <w:pStyle w:val="939"/>
              <w:contextualSpacing/>
              <w:ind w:left="0" w:firstLine="0"/>
              <w:rPr>
                <w:color w:val="auto"/>
                <w:sz w:val="21"/>
                <w:szCs w:val="21"/>
                <w:highlight w:val="none"/>
              </w:rPr>
            </w:pPr>
            <w:r>
              <w:rPr>
                <w:rFonts w:hint="eastAsia"/>
                <w:color w:val="auto"/>
                <w:sz w:val="21"/>
                <w:szCs w:val="21"/>
                <w:highlight w:val="none"/>
              </w:rPr>
              <w:t xml:space="preserve">1、带背光液晶显示屏，高灵敏度轻触按键。</w:t>
            </w:r>
            <w:r/>
          </w:p>
          <w:p>
            <w:pPr>
              <w:pStyle w:val="939"/>
              <w:contextualSpacing/>
              <w:ind w:left="0" w:firstLine="0"/>
              <w:rPr>
                <w:color w:val="auto"/>
                <w:sz w:val="21"/>
                <w:szCs w:val="21"/>
                <w:highlight w:val="none"/>
              </w:rPr>
            </w:pPr>
            <w:r>
              <w:rPr>
                <w:rFonts w:hint="eastAsia"/>
                <w:color w:val="auto"/>
                <w:sz w:val="21"/>
                <w:szCs w:val="21"/>
                <w:highlight w:val="none"/>
              </w:rPr>
              <w:t xml:space="preserve">2、内藏式下称吊钩、过载保护秤盘</w:t>
            </w:r>
            <w:r/>
          </w:p>
          <w:p>
            <w:pPr>
              <w:pStyle w:val="939"/>
              <w:contextualSpacing/>
              <w:ind w:left="0" w:firstLine="0"/>
              <w:rPr>
                <w:color w:val="auto"/>
                <w:sz w:val="21"/>
                <w:szCs w:val="21"/>
                <w:highlight w:val="none"/>
              </w:rPr>
            </w:pPr>
            <w:r>
              <w:rPr>
                <w:rFonts w:hint="eastAsia"/>
                <w:color w:val="auto"/>
                <w:sz w:val="21"/>
                <w:szCs w:val="21"/>
                <w:highlight w:val="none"/>
              </w:rPr>
              <w:t xml:space="preserve">3、秤盘下方配气流防风罩。</w:t>
            </w:r>
            <w:r/>
          </w:p>
          <w:p>
            <w:pPr>
              <w:pStyle w:val="939"/>
              <w:contextualSpacing/>
              <w:ind w:left="0" w:firstLine="0"/>
              <w:rPr>
                <w:color w:val="auto"/>
                <w:sz w:val="21"/>
                <w:szCs w:val="21"/>
                <w:highlight w:val="none"/>
              </w:rPr>
            </w:pPr>
            <w:r>
              <w:rPr>
                <w:rFonts w:hint="eastAsia"/>
                <w:color w:val="auto"/>
                <w:sz w:val="21"/>
                <w:szCs w:val="21"/>
                <w:highlight w:val="none"/>
              </w:rPr>
              <w:t xml:space="preserve">4、具有显示屏防护罩。</w:t>
            </w:r>
            <w:r/>
          </w:p>
          <w:p>
            <w:pPr>
              <w:pStyle w:val="939"/>
              <w:contextualSpacing/>
              <w:ind w:left="0" w:firstLine="0"/>
              <w:rPr>
                <w:color w:val="auto"/>
                <w:sz w:val="21"/>
                <w:szCs w:val="21"/>
                <w:highlight w:val="none"/>
              </w:rPr>
            </w:pPr>
            <w:r>
              <w:rPr>
                <w:rFonts w:hint="eastAsia"/>
                <w:color w:val="auto"/>
                <w:sz w:val="21"/>
                <w:szCs w:val="21"/>
                <w:highlight w:val="none"/>
              </w:rPr>
              <w:t xml:space="preserve">5、具有玻璃门运输保护锁，四面全透明的玻璃防风罩，一面铝合金背板。</w:t>
            </w:r>
            <w:r/>
          </w:p>
          <w:p>
            <w:pPr>
              <w:pStyle w:val="939"/>
              <w:contextualSpacing/>
              <w:ind w:left="0" w:firstLine="0"/>
              <w:rPr>
                <w:color w:val="auto"/>
                <w:sz w:val="21"/>
                <w:szCs w:val="21"/>
                <w:highlight w:val="none"/>
              </w:rPr>
            </w:pPr>
            <w:r>
              <w:rPr>
                <w:rFonts w:hint="eastAsia"/>
                <w:color w:val="auto"/>
                <w:sz w:val="21"/>
                <w:szCs w:val="21"/>
                <w:highlight w:val="none"/>
              </w:rPr>
              <w:t xml:space="preserve">6、具有全方位传感器保护保护功能，从六个方向最大限度保护传感器不受外力损害。</w:t>
            </w:r>
            <w:r/>
          </w:p>
          <w:p>
            <w:pPr>
              <w:pStyle w:val="939"/>
              <w:contextualSpacing/>
              <w:ind w:left="0" w:firstLine="0"/>
              <w:rPr>
                <w:color w:val="auto"/>
                <w:sz w:val="21"/>
                <w:szCs w:val="21"/>
                <w:highlight w:val="none"/>
              </w:rPr>
            </w:pPr>
            <w:r>
              <w:rPr>
                <w:rFonts w:hint="eastAsia"/>
                <w:color w:val="auto"/>
                <w:sz w:val="21"/>
                <w:szCs w:val="21"/>
                <w:highlight w:val="none"/>
              </w:rPr>
              <w:t xml:space="preserve">7、全铝制天平底座，防止低频振动，机身更加稳固。</w:t>
            </w:r>
            <w:r/>
          </w:p>
          <w:p>
            <w:pPr>
              <w:pStyle w:val="939"/>
              <w:contextualSpacing/>
              <w:ind w:left="0" w:firstLine="0"/>
              <w:rPr>
                <w:color w:val="auto"/>
                <w:sz w:val="21"/>
                <w:szCs w:val="21"/>
                <w:highlight w:val="none"/>
              </w:rPr>
            </w:pPr>
            <w:r>
              <w:rPr>
                <w:rFonts w:hint="eastAsia"/>
                <w:color w:val="auto"/>
                <w:sz w:val="21"/>
                <w:szCs w:val="21"/>
                <w:highlight w:val="none"/>
              </w:rPr>
              <w:t xml:space="preserve">8、具有过载保护秤盘功能（采用秤盘锁死结构，防止称量过载，保护传感器）。</w:t>
            </w:r>
            <w:r/>
          </w:p>
          <w:p>
            <w:pPr>
              <w:pStyle w:val="939"/>
              <w:contextualSpacing/>
              <w:ind w:left="0" w:firstLine="0"/>
              <w:rPr>
                <w:color w:val="auto"/>
                <w:sz w:val="21"/>
                <w:szCs w:val="21"/>
                <w:highlight w:val="none"/>
              </w:rPr>
            </w:pPr>
            <w:r>
              <w:rPr>
                <w:rFonts w:hint="eastAsia"/>
                <w:color w:val="auto"/>
                <w:sz w:val="21"/>
                <w:szCs w:val="21"/>
                <w:highlight w:val="none"/>
              </w:rPr>
              <w:t xml:space="preserve">9、全自动内校砝码标定功能：无需打开机壳直接进行内部砝码的周期检定和校准。</w:t>
            </w:r>
            <w:r/>
          </w:p>
          <w:p>
            <w:pPr>
              <w:pStyle w:val="939"/>
              <w:contextualSpacing/>
              <w:ind w:left="0" w:firstLine="0"/>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0</w:t>
            </w:r>
            <w:r>
              <w:rPr>
                <w:rFonts w:hint="eastAsia"/>
                <w:color w:val="auto"/>
                <w:sz w:val="21"/>
                <w:szCs w:val="21"/>
                <w:highlight w:val="none"/>
              </w:rPr>
              <w:t xml:space="preserve">、实际分度值：0.0001g</w:t>
            </w:r>
            <w:r/>
          </w:p>
          <w:p>
            <w:pPr>
              <w:pStyle w:val="939"/>
              <w:contextualSpacing/>
              <w:ind w:left="0" w:firstLine="0"/>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、最大称量范围：220g</w:t>
            </w:r>
            <w:r/>
          </w:p>
          <w:p>
            <w:pPr>
              <w:pStyle w:val="939"/>
              <w:contextualSpacing/>
              <w:ind w:left="0" w:firstLine="0"/>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、可重复性标准偏差：±0.0001g</w:t>
            </w:r>
            <w:r/>
          </w:p>
          <w:p>
            <w:pPr>
              <w:pStyle w:val="939"/>
              <w:contextualSpacing/>
              <w:ind w:left="0" w:firstLine="0"/>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w:t>
            </w:r>
            <w:r>
              <w:rPr>
                <w:rFonts w:hint="eastAsia"/>
                <w:color w:val="auto"/>
                <w:sz w:val="21"/>
                <w:szCs w:val="21"/>
                <w:highlight w:val="none"/>
              </w:rPr>
              <w:t xml:space="preserve">、线性：≤ ±0.0002g</w:t>
            </w:r>
            <w:r/>
          </w:p>
          <w:p>
            <w:pPr>
              <w:pStyle w:val="939"/>
              <w:contextualSpacing/>
              <w:ind w:left="0" w:firstLine="0"/>
              <w:rPr>
                <w:color w:val="auto"/>
                <w:sz w:val="21"/>
                <w:szCs w:val="21"/>
                <w:highlight w:val="none"/>
                <w:lang w:bidi="ar"/>
              </w:rPr>
            </w:pPr>
            <w:r>
              <w:rPr>
                <w:rFonts w:hint="eastAsia"/>
                <w:color w:val="auto"/>
                <w:sz w:val="21"/>
                <w:szCs w:val="21"/>
                <w:highlight w:val="none"/>
              </w:rPr>
              <w:t xml:space="preserve">1</w:t>
            </w:r>
            <w:r>
              <w:rPr>
                <w:color w:val="auto"/>
                <w:sz w:val="21"/>
                <w:szCs w:val="21"/>
                <w:highlight w:val="none"/>
              </w:rPr>
              <w:t xml:space="preserve">4</w:t>
            </w:r>
            <w:r>
              <w:rPr>
                <w:rFonts w:hint="eastAsia"/>
                <w:color w:val="auto"/>
                <w:sz w:val="21"/>
                <w:szCs w:val="21"/>
                <w:highlight w:val="none"/>
              </w:rPr>
              <w:t xml:space="preserve">、类型：全自动内部校准</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7</w:t>
            </w:r>
            <w:r/>
          </w:p>
        </w:tc>
        <w:tc>
          <w:tcPr>
            <w:tcW w:w="1701" w:type="dxa"/>
            <w:vAlign w:val="center"/>
            <w:textDirection w:val="lrTb"/>
            <w:noWrap w:val="false"/>
          </w:tcPr>
          <w:p>
            <w:pPr>
              <w:jc w:val="center"/>
              <w:widowControl/>
              <w:rPr>
                <w:color w:val="auto"/>
                <w:highlight w:val="none"/>
                <w:lang w:bidi="ar"/>
              </w:rPr>
            </w:pPr>
            <w:r>
              <w:rPr>
                <w:rFonts w:hint="eastAsia"/>
                <w:color w:val="auto"/>
                <w:highlight w:val="none"/>
                <w:lang w:bidi="ar"/>
              </w:rPr>
              <w:t xml:space="preserve">加热套</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指针控温，功率300W，控温范围：RT-380摄氏度，可容纳500ml烧瓶</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8</w:t>
            </w:r>
            <w:r/>
          </w:p>
        </w:tc>
        <w:tc>
          <w:tcPr>
            <w:tcW w:w="1701" w:type="dxa"/>
            <w:vAlign w:val="center"/>
            <w:textDirection w:val="lrTb"/>
            <w:noWrap w:val="false"/>
          </w:tcPr>
          <w:p>
            <w:pPr>
              <w:jc w:val="center"/>
              <w:widowControl/>
              <w:rPr>
                <w:color w:val="auto"/>
                <w:highlight w:val="none"/>
                <w:lang w:bidi="ar"/>
              </w:rPr>
            </w:pPr>
            <w:r/>
            <w:bookmarkStart w:id="36" w:name="OLE_LINK38"/>
            <w:r/>
            <w:bookmarkStart w:id="37" w:name="OLE_LINK47"/>
            <w:r>
              <w:rPr>
                <w:rFonts w:hint="eastAsia"/>
                <w:color w:val="auto"/>
                <w:highlight w:val="none"/>
                <w:lang w:bidi="ar"/>
              </w:rPr>
              <w:t xml:space="preserve">升降台</w:t>
            </w:r>
            <w:bookmarkEnd w:id="36"/>
            <w:r/>
            <w:bookmarkEnd w:id="37"/>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台面</w:t>
            </w:r>
            <w:r>
              <w:rPr>
                <w:color w:val="auto"/>
                <w:sz w:val="21"/>
                <w:szCs w:val="21"/>
                <w:highlight w:val="none"/>
                <w:lang w:bidi="ar"/>
              </w:rPr>
              <w:t xml:space="preserve">200*200mm，氧化铝材质（阳极氧化处理），最大承重≥15kg，剪叉式手动调节，符合实验室设备规范</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9</w:t>
            </w:r>
            <w:r/>
          </w:p>
        </w:tc>
        <w:tc>
          <w:tcPr>
            <w:tcW w:w="1701" w:type="dxa"/>
            <w:vAlign w:val="center"/>
            <w:textDirection w:val="lrTb"/>
            <w:noWrap w:val="false"/>
          </w:tcPr>
          <w:p>
            <w:pPr>
              <w:jc w:val="center"/>
              <w:widowControl/>
              <w:rPr>
                <w:color w:val="auto"/>
                <w:highlight w:val="none"/>
                <w:lang w:bidi="ar"/>
              </w:rPr>
            </w:pPr>
            <w:r>
              <w:rPr>
                <w:rFonts w:hint="eastAsia"/>
                <w:color w:val="auto"/>
                <w:highlight w:val="none"/>
                <w:lang w:bidi="ar"/>
              </w:rPr>
              <w:t xml:space="preserve">纯水仪</w:t>
            </w:r>
            <w:r/>
          </w:p>
        </w:tc>
        <w:tc>
          <w:tcPr>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▲1、一体化两柱纯化组模块及独有的超大容量四柱一体超纯化柱组模块。全身柱体采用食品级 PP材质，热熔设备一次热熔成型，无任何粘接剂，无任何杂质析出。内装精密级树脂及核子级树脂，出水水质最高可达到18.2MΩ·cm。</w:t>
            </w:r>
            <w:r/>
          </w:p>
          <w:p>
            <w:pPr>
              <w:contextualSpacing/>
              <w:tabs>
                <w:tab w:val="left" w:pos="1725" w:leader="none"/>
              </w:tabs>
              <w:rPr>
                <w:color w:val="auto"/>
                <w:sz w:val="21"/>
                <w:szCs w:val="21"/>
                <w:highlight w:val="none"/>
              </w:rPr>
            </w:pPr>
            <w:r>
              <w:rPr>
                <w:rFonts w:hint="eastAsia"/>
                <w:color w:val="auto"/>
                <w:sz w:val="21"/>
                <w:szCs w:val="21"/>
                <w:highlight w:val="none"/>
              </w:rPr>
              <w:t xml:space="preserve">2、进水水源：一般城市自来水；进水压力：水压1～4kg/cm</w:t>
            </w:r>
            <w:r>
              <w:rPr>
                <w:rFonts w:hint="eastAsia"/>
                <w:color w:val="auto"/>
                <w:sz w:val="21"/>
                <w:szCs w:val="21"/>
                <w:highlight w:val="none"/>
                <w:vertAlign w:val="superscript"/>
              </w:rPr>
              <w:t xml:space="preserve">2</w:t>
            </w:r>
            <w:r>
              <w:rPr>
                <w:rFonts w:hint="eastAsia"/>
                <w:color w:val="auto"/>
                <w:sz w:val="21"/>
                <w:szCs w:val="21"/>
                <w:highlight w:val="none"/>
              </w:rPr>
              <w:t xml:space="preserve">,水温5-45</w:t>
            </w:r>
            <w:r>
              <w:rPr>
                <w:rFonts w:hint="eastAsia"/>
                <w:color w:val="auto"/>
                <w:sz w:val="21"/>
                <w:szCs w:val="21"/>
                <w:highlight w:val="none"/>
                <w:vertAlign w:val="superscript"/>
              </w:rPr>
              <w:t xml:space="preserve">0</w:t>
            </w:r>
            <w:r>
              <w:rPr>
                <w:rFonts w:hint="eastAsia"/>
                <w:color w:val="auto"/>
                <w:sz w:val="21"/>
                <w:szCs w:val="21"/>
                <w:highlight w:val="none"/>
              </w:rPr>
              <w:t xml:space="preserve">C；工作电源：220V/50HZ，电功率：50-80W，噪音＜50db。外形尺寸/重量：</w:t>
            </w:r>
            <w:r>
              <w:rPr>
                <w:rFonts w:hint="eastAsia" w:asciiTheme="minorEastAsia" w:hAnsiTheme="minorEastAsia" w:eastAsiaTheme="minorEastAsia"/>
                <w:color w:val="auto"/>
                <w:sz w:val="21"/>
                <w:szCs w:val="21"/>
                <w:highlight w:val="none"/>
              </w:rPr>
              <w:t xml:space="preserve">≥</w:t>
            </w:r>
            <w:r>
              <w:rPr>
                <w:rFonts w:hint="eastAsia"/>
                <w:color w:val="auto"/>
                <w:sz w:val="21"/>
                <w:szCs w:val="21"/>
                <w:highlight w:val="none"/>
              </w:rPr>
              <w:t xml:space="preserve">（宽*深*高）500x400x580mm</w:t>
            </w:r>
            <w:r/>
          </w:p>
          <w:p>
            <w:pPr>
              <w:contextualSpacing/>
              <w:tabs>
                <w:tab w:val="left" w:pos="720" w:leader="none"/>
                <w:tab w:val="left" w:pos="1725" w:leader="none"/>
              </w:tabs>
              <w:rPr>
                <w:color w:val="auto"/>
                <w:sz w:val="21"/>
                <w:szCs w:val="21"/>
                <w:highlight w:val="none"/>
              </w:rPr>
            </w:pPr>
            <w:r>
              <w:rPr>
                <w:rFonts w:hint="eastAsia"/>
                <w:color w:val="auto"/>
                <w:sz w:val="21"/>
                <w:szCs w:val="21"/>
                <w:highlight w:val="none"/>
              </w:rPr>
              <w:t xml:space="preserve">3、产水量：20L/h； 取水流速：1.5-2.0L/min</w:t>
            </w:r>
            <w:r/>
          </w:p>
          <w:p>
            <w:pPr>
              <w:contextualSpacing/>
              <w:rPr>
                <w:color w:val="auto"/>
                <w:sz w:val="21"/>
                <w:szCs w:val="21"/>
                <w:highlight w:val="none"/>
              </w:rPr>
            </w:pPr>
            <w:r>
              <w:rPr>
                <w:rFonts w:hint="eastAsia"/>
                <w:color w:val="auto"/>
                <w:sz w:val="21"/>
                <w:szCs w:val="21"/>
                <w:highlight w:val="none"/>
              </w:rPr>
              <w:t xml:space="preserve">4、纯水水质：电导率≤1μs/cm25℃，水质符合</w:t>
            </w:r>
            <w:r>
              <w:rPr>
                <w:color w:val="auto"/>
                <w:sz w:val="21"/>
                <w:szCs w:val="21"/>
                <w:highlight w:val="none"/>
              </w:rPr>
              <w:t xml:space="preserve">GB/T 6682-2008</w:t>
            </w:r>
            <w:r>
              <w:rPr>
                <w:rFonts w:hint="eastAsia"/>
                <w:color w:val="auto"/>
                <w:sz w:val="21"/>
                <w:szCs w:val="21"/>
                <w:highlight w:val="none"/>
              </w:rPr>
              <w:t xml:space="preserve">Ⅲ级水标准；</w:t>
            </w:r>
            <w:r/>
          </w:p>
          <w:p>
            <w:pPr>
              <w:contextualSpacing/>
              <w:rPr>
                <w:color w:val="auto"/>
                <w:sz w:val="21"/>
                <w:szCs w:val="21"/>
                <w:highlight w:val="none"/>
              </w:rPr>
            </w:pPr>
            <w:r>
              <w:rPr>
                <w:rFonts w:hint="eastAsia"/>
                <w:color w:val="auto"/>
                <w:sz w:val="21"/>
                <w:szCs w:val="21"/>
                <w:highlight w:val="none"/>
              </w:rPr>
              <w:t xml:space="preserve">超纯水水质：电阻率18.2MΩ•cm@25℃，水质优于GB6682-2008规格Ⅰ级水标准，；TOC＜10ppb</w:t>
            </w:r>
            <w:r>
              <w:rPr>
                <w:rFonts w:hint="eastAsia"/>
                <w:color w:val="auto"/>
                <w:sz w:val="21"/>
                <w:szCs w:val="21"/>
                <w:highlight w:val="none"/>
                <w:vertAlign w:val="superscript"/>
              </w:rPr>
              <w:t xml:space="preserve">**</w:t>
            </w:r>
            <w:r>
              <w:rPr>
                <w:rFonts w:hint="eastAsia"/>
                <w:color w:val="auto"/>
                <w:sz w:val="21"/>
                <w:szCs w:val="21"/>
                <w:highlight w:val="none"/>
              </w:rPr>
              <w:t xml:space="preserve">；热源＜0.002EU/ml；微生物＜0.1cfu/ml；重金属含量(ppb.max) ＜0.1ppb；可溶性硅(SiO</w:t>
            </w:r>
            <w:r>
              <w:rPr>
                <w:rFonts w:hint="eastAsia"/>
                <w:color w:val="auto"/>
                <w:sz w:val="21"/>
                <w:szCs w:val="21"/>
                <w:highlight w:val="none"/>
                <w:vertAlign w:val="subscript"/>
              </w:rPr>
              <w:t xml:space="preserve">2</w:t>
            </w:r>
            <w:r>
              <w:rPr>
                <w:rFonts w:hint="eastAsia"/>
                <w:color w:val="auto"/>
                <w:sz w:val="21"/>
                <w:szCs w:val="21"/>
                <w:highlight w:val="none"/>
              </w:rPr>
              <w:t xml:space="preserve">)＜0.01ppm；吸光度(254nm,1cm)≤0.001；</w:t>
            </w:r>
            <w:r/>
          </w:p>
          <w:p>
            <w:pPr>
              <w:contextualSpacing/>
              <w:tabs>
                <w:tab w:val="left" w:pos="1725" w:leader="none"/>
              </w:tabs>
              <w:rPr>
                <w:color w:val="auto"/>
                <w:sz w:val="21"/>
                <w:szCs w:val="21"/>
                <w:highlight w:val="none"/>
              </w:rPr>
            </w:pPr>
            <w:r>
              <w:rPr>
                <w:rFonts w:hint="eastAsia"/>
                <w:color w:val="auto"/>
                <w:sz w:val="21"/>
                <w:szCs w:val="21"/>
                <w:highlight w:val="none"/>
              </w:rPr>
              <w:t xml:space="preserve">5、从自来水直接生产纯水和超纯水的一体化系统；</w:t>
            </w:r>
            <w:r/>
          </w:p>
          <w:p>
            <w:pPr>
              <w:contextualSpacing/>
              <w:rPr>
                <w:color w:val="auto"/>
                <w:sz w:val="21"/>
                <w:szCs w:val="21"/>
                <w:highlight w:val="none"/>
              </w:rPr>
            </w:pPr>
            <w:r>
              <w:rPr>
                <w:rFonts w:hint="eastAsia"/>
                <w:color w:val="auto"/>
                <w:sz w:val="21"/>
                <w:szCs w:val="21"/>
                <w:highlight w:val="none"/>
              </w:rPr>
              <w:t xml:space="preserve">6、5.0寸大屏幕液晶式显示，四位用户密码保护，全程动画菜单显示，动感直观；</w:t>
            </w:r>
            <w:r/>
          </w:p>
          <w:p>
            <w:pPr>
              <w:contextualSpacing/>
              <w:rPr>
                <w:color w:val="auto"/>
                <w:sz w:val="21"/>
                <w:szCs w:val="21"/>
                <w:highlight w:val="none"/>
              </w:rPr>
            </w:pPr>
            <w:r>
              <w:rPr>
                <w:rFonts w:hint="eastAsia"/>
                <w:color w:val="auto"/>
                <w:sz w:val="21"/>
                <w:szCs w:val="21"/>
                <w:highlight w:val="none"/>
              </w:rPr>
              <w:t xml:space="preserve">7、多点全线监控，在线三路水质监控，实时监测源水、RO反渗透水、UP超纯水水质；水温在线检测；</w:t>
            </w:r>
            <w:r/>
          </w:p>
          <w:p>
            <w:pPr>
              <w:contextualSpacing/>
              <w:rPr>
                <w:color w:val="auto"/>
                <w:sz w:val="21"/>
                <w:szCs w:val="21"/>
                <w:highlight w:val="none"/>
              </w:rPr>
            </w:pPr>
            <w:r>
              <w:rPr>
                <w:rFonts w:hint="eastAsia"/>
                <w:color w:val="auto"/>
                <w:sz w:val="21"/>
                <w:szCs w:val="21"/>
                <w:highlight w:val="none"/>
              </w:rPr>
              <w:t xml:space="preserve">8、完善的无水保护、高压水满系统自动停机保护，用水后系统自动开机和故障告警功能；</w:t>
            </w:r>
            <w:r/>
          </w:p>
          <w:p>
            <w:pPr>
              <w:contextualSpacing/>
              <w:rPr>
                <w:color w:val="auto"/>
                <w:sz w:val="21"/>
                <w:szCs w:val="21"/>
                <w:highlight w:val="none"/>
              </w:rPr>
            </w:pPr>
            <w:r>
              <w:rPr>
                <w:rFonts w:hint="eastAsia"/>
                <w:color w:val="auto"/>
                <w:sz w:val="21"/>
                <w:szCs w:val="21"/>
                <w:highlight w:val="none"/>
              </w:rPr>
              <w:t xml:space="preserve">9、超纯水循环系统可自由启动、关闭，保持系统的低细菌污染水平；</w:t>
            </w:r>
            <w:r/>
          </w:p>
          <w:p>
            <w:pPr>
              <w:contextualSpacing/>
              <w:rPr>
                <w:color w:val="auto"/>
                <w:sz w:val="21"/>
                <w:szCs w:val="21"/>
                <w:highlight w:val="none"/>
              </w:rPr>
            </w:pPr>
            <w:r>
              <w:rPr>
                <w:rFonts w:hint="eastAsia"/>
                <w:color w:val="auto"/>
                <w:sz w:val="21"/>
                <w:szCs w:val="21"/>
                <w:highlight w:val="none"/>
              </w:rPr>
              <w:t xml:space="preserve">10、兼容压力水桶和液位水箱2种纯水储存方式，可直接显示水箱储水量，满足不同的应用需求；</w:t>
            </w:r>
            <w:r/>
          </w:p>
          <w:p>
            <w:pPr>
              <w:contextualSpacing/>
              <w:rPr>
                <w:color w:val="auto"/>
                <w:sz w:val="21"/>
                <w:szCs w:val="21"/>
                <w:highlight w:val="none"/>
              </w:rPr>
            </w:pPr>
            <w:r>
              <w:rPr>
                <w:rFonts w:hint="eastAsia"/>
                <w:color w:val="auto"/>
                <w:sz w:val="21"/>
                <w:szCs w:val="21"/>
                <w:highlight w:val="none"/>
              </w:rPr>
              <w:t xml:space="preserve">11、采用RO膜片，全自动RO膜防垢冲洗程序，可设置冲洗时间和冲洗间隔时间，延长RO膜使用寿命；</w:t>
            </w:r>
            <w:r/>
          </w:p>
          <w:p>
            <w:pPr>
              <w:contextualSpacing/>
              <w:tabs>
                <w:tab w:val="left" w:pos="1725" w:leader="none"/>
              </w:tabs>
              <w:rPr>
                <w:color w:val="auto"/>
                <w:sz w:val="21"/>
                <w:szCs w:val="21"/>
                <w:highlight w:val="none"/>
              </w:rPr>
            </w:pPr>
            <w:r>
              <w:rPr>
                <w:rFonts w:hint="eastAsia"/>
                <w:color w:val="auto"/>
                <w:sz w:val="21"/>
                <w:szCs w:val="21"/>
                <w:highlight w:val="none"/>
              </w:rPr>
              <w:t xml:space="preserve">12、PP滤芯、AC滤芯、RO膜、UV灯、UF膜和UP超纯化柱的耗材寿命可设定，可显示已使用时间，到期自动提醒更换；</w:t>
            </w:r>
            <w:r/>
          </w:p>
          <w:p>
            <w:pPr>
              <w:contextualSpacing/>
              <w:rPr>
                <w:color w:val="auto"/>
                <w:sz w:val="21"/>
                <w:szCs w:val="21"/>
                <w:highlight w:val="none"/>
              </w:rPr>
            </w:pPr>
            <w:r>
              <w:rPr>
                <w:rFonts w:hint="eastAsia"/>
                <w:color w:val="auto"/>
                <w:sz w:val="21"/>
                <w:szCs w:val="21"/>
                <w:highlight w:val="none"/>
              </w:rPr>
              <w:t xml:space="preserve">13、定时、定质取水功能；</w:t>
            </w:r>
            <w:r/>
          </w:p>
          <w:p>
            <w:pPr>
              <w:contextualSpacing/>
              <w:rPr>
                <w:color w:val="auto"/>
                <w:sz w:val="21"/>
                <w:szCs w:val="21"/>
                <w:highlight w:val="none"/>
              </w:rPr>
            </w:pPr>
            <w:r>
              <w:rPr>
                <w:rFonts w:hint="eastAsia"/>
                <w:color w:val="auto"/>
                <w:sz w:val="21"/>
                <w:szCs w:val="21"/>
                <w:highlight w:val="none"/>
              </w:rPr>
              <w:t xml:space="preserve">14、电导率仪电阻池常数：0.01cm</w:t>
            </w:r>
            <w:r>
              <w:rPr>
                <w:rFonts w:hint="eastAsia"/>
                <w:color w:val="auto"/>
                <w:sz w:val="21"/>
                <w:szCs w:val="21"/>
                <w:highlight w:val="none"/>
                <w:vertAlign w:val="superscript"/>
              </w:rPr>
              <w:t xml:space="preserve">-1</w:t>
            </w:r>
            <w:r>
              <w:rPr>
                <w:rFonts w:hint="eastAsia"/>
                <w:color w:val="auto"/>
                <w:sz w:val="21"/>
                <w:szCs w:val="21"/>
                <w:highlight w:val="none"/>
              </w:rPr>
              <w:t xml:space="preserve">，温度灵敏度±0.1℃，带温度自动补尝功能；</w:t>
            </w:r>
            <w:r/>
          </w:p>
          <w:p>
            <w:pPr>
              <w:contextualSpacing/>
              <w:rPr>
                <w:color w:val="auto"/>
                <w:sz w:val="21"/>
                <w:szCs w:val="21"/>
                <w:highlight w:val="none"/>
              </w:rPr>
            </w:pPr>
            <w:r>
              <w:rPr>
                <w:rFonts w:hint="eastAsia"/>
                <w:color w:val="auto"/>
                <w:sz w:val="21"/>
                <w:szCs w:val="21"/>
                <w:highlight w:val="none"/>
              </w:rPr>
              <w:t xml:space="preserve">15、UP超纯水系统内置循环设定，制备所需最佳UP超纯水水质；</w:t>
            </w:r>
            <w:r/>
          </w:p>
          <w:p>
            <w:pPr>
              <w:contextualSpacing/>
              <w:rPr>
                <w:color w:val="auto"/>
                <w:sz w:val="21"/>
                <w:szCs w:val="21"/>
                <w:highlight w:val="none"/>
              </w:rPr>
            </w:pPr>
            <w:r>
              <w:rPr>
                <w:rFonts w:hint="eastAsia"/>
                <w:color w:val="auto"/>
                <w:sz w:val="21"/>
                <w:szCs w:val="21"/>
                <w:highlight w:val="none"/>
              </w:rPr>
              <w:t xml:space="preserve">16、系统自带超大内存可储存半年的运行数据，可设定时间范围通过USB接口进行完整数据导出（Excel表格）；</w:t>
            </w:r>
            <w:r/>
          </w:p>
          <w:p>
            <w:pPr>
              <w:contextualSpacing/>
              <w:rPr>
                <w:color w:val="auto"/>
                <w:sz w:val="21"/>
                <w:szCs w:val="21"/>
                <w:highlight w:val="none"/>
              </w:rPr>
            </w:pPr>
            <w:r>
              <w:rPr>
                <w:rFonts w:hint="eastAsia"/>
                <w:color w:val="auto"/>
                <w:sz w:val="21"/>
                <w:szCs w:val="21"/>
                <w:highlight w:val="none"/>
              </w:rPr>
              <w:t xml:space="preserve">17、耗材更换时间可记录、查看，全面掌握设备维护信息；</w:t>
            </w:r>
            <w:r/>
          </w:p>
          <w:p>
            <w:pPr>
              <w:contextualSpacing/>
              <w:rPr>
                <w:color w:val="auto"/>
                <w:sz w:val="21"/>
                <w:szCs w:val="21"/>
                <w:highlight w:val="none"/>
              </w:rPr>
            </w:pPr>
            <w:r>
              <w:rPr>
                <w:rFonts w:hint="eastAsia"/>
                <w:color w:val="auto"/>
                <w:sz w:val="21"/>
                <w:szCs w:val="21"/>
                <w:highlight w:val="none"/>
              </w:rPr>
              <w:t xml:space="preserve">18、工厂、客户二级密码，系统设置均由密码保护，防止未经授权的更改；</w:t>
            </w:r>
            <w:r/>
          </w:p>
          <w:p>
            <w:pPr>
              <w:contextualSpacing/>
              <w:rPr>
                <w:color w:val="auto"/>
                <w:sz w:val="21"/>
                <w:szCs w:val="21"/>
                <w:highlight w:val="none"/>
              </w:rPr>
            </w:pPr>
            <w:r>
              <w:rPr>
                <w:color w:val="auto"/>
                <w:sz w:val="21"/>
                <w:szCs w:val="21"/>
                <w:highlight w:val="none"/>
              </w:rPr>
              <w:t xml:space="preserve">19</w:t>
            </w:r>
            <w:r>
              <w:rPr>
                <w:rFonts w:hint="eastAsia"/>
                <w:color w:val="auto"/>
                <w:sz w:val="21"/>
                <w:szCs w:val="21"/>
                <w:highlight w:val="none"/>
              </w:rPr>
              <w:t xml:space="preserve">、根据使用要求，取水终端有多种终端精制器可选配，有效去除特定污染物，如去除内毒素和核酸酶、超痕量有机物、内分泌干扰素EDS、挥发性有机物VOC等，以满足不同的实验要求</w:t>
            </w:r>
            <w:r/>
          </w:p>
          <w:p>
            <w:pPr>
              <w:contextualSpacing/>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0</w:t>
            </w:r>
            <w:r>
              <w:rPr>
                <w:rFonts w:hint="eastAsia"/>
                <w:color w:val="auto"/>
                <w:sz w:val="21"/>
                <w:szCs w:val="21"/>
                <w:highlight w:val="none"/>
              </w:rPr>
              <w:t xml:space="preserve">、采用的紫外杀菌设备具有：</w:t>
            </w:r>
            <w:r/>
          </w:p>
          <w:p>
            <w:pPr>
              <w:contextualSpacing/>
              <w:rPr>
                <w:color w:val="auto"/>
                <w:sz w:val="21"/>
                <w:szCs w:val="21"/>
                <w:highlight w:val="none"/>
              </w:rPr>
            </w:pPr>
            <w:r>
              <w:rPr>
                <w:rFonts w:hint="eastAsia"/>
                <w:color w:val="auto"/>
                <w:sz w:val="21"/>
                <w:szCs w:val="21"/>
                <w:highlight w:val="none"/>
              </w:rPr>
              <w:t xml:space="preserve">（1）无灯丝构造</w:t>
            </w:r>
            <w:r/>
          </w:p>
          <w:p>
            <w:pPr>
              <w:contextualSpacing/>
              <w:rPr>
                <w:color w:val="auto"/>
                <w:sz w:val="21"/>
                <w:szCs w:val="21"/>
                <w:highlight w:val="none"/>
              </w:rPr>
            </w:pPr>
            <w:r>
              <w:rPr>
                <w:rFonts w:hint="eastAsia"/>
                <w:color w:val="auto"/>
                <w:sz w:val="21"/>
                <w:szCs w:val="21"/>
                <w:highlight w:val="none"/>
              </w:rPr>
              <w:t xml:space="preserve">（2）ON/OFF反复开关不会影响寿命</w:t>
            </w:r>
            <w:r/>
          </w:p>
          <w:p>
            <w:pPr>
              <w:contextualSpacing/>
              <w:rPr>
                <w:color w:val="auto"/>
                <w:sz w:val="21"/>
                <w:szCs w:val="21"/>
                <w:highlight w:val="none"/>
              </w:rPr>
            </w:pPr>
            <w:r>
              <w:rPr>
                <w:rFonts w:hint="eastAsia"/>
                <w:color w:val="auto"/>
                <w:sz w:val="21"/>
                <w:szCs w:val="21"/>
                <w:highlight w:val="none"/>
              </w:rPr>
              <w:t xml:space="preserve">（3）最长寿命50000小时</w:t>
            </w:r>
            <w:r/>
          </w:p>
          <w:p>
            <w:pPr>
              <w:contextualSpacing/>
              <w:rPr>
                <w:color w:val="auto"/>
                <w:sz w:val="21"/>
                <w:szCs w:val="21"/>
                <w:highlight w:val="none"/>
              </w:rPr>
            </w:pPr>
            <w:r>
              <w:rPr>
                <w:rFonts w:hint="eastAsia"/>
                <w:color w:val="auto"/>
                <w:sz w:val="21"/>
                <w:szCs w:val="21"/>
                <w:highlight w:val="none"/>
              </w:rPr>
              <w:t xml:space="preserve">（4）管径：Φ4．0mm 、管長：150mm） </w:t>
            </w:r>
            <w:r/>
          </w:p>
          <w:p>
            <w:pPr>
              <w:contextualSpacing/>
              <w:rPr>
                <w:color w:val="auto"/>
                <w:sz w:val="21"/>
                <w:szCs w:val="21"/>
                <w:highlight w:val="none"/>
              </w:rPr>
            </w:pPr>
            <w:r>
              <w:rPr>
                <w:rFonts w:hint="eastAsia"/>
                <w:color w:val="auto"/>
                <w:sz w:val="21"/>
                <w:szCs w:val="21"/>
                <w:highlight w:val="none"/>
              </w:rPr>
              <w:t xml:space="preserve">（5）双波长（185nm＆254nm）,彻底杀菌+降解TOC</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10</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制冰机</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1、制冰能力：</w:t>
            </w:r>
            <w:bookmarkStart w:id="38" w:name="OLE_LINK33"/>
            <w:r/>
            <w:bookmarkStart w:id="39" w:name="OLE_LINK32"/>
            <w:r>
              <w:rPr>
                <w:rFonts w:hint="eastAsia"/>
                <w:color w:val="auto"/>
                <w:sz w:val="21"/>
                <w:szCs w:val="21"/>
                <w:highlight w:val="none"/>
              </w:rPr>
              <w:t xml:space="preserve">≥</w:t>
            </w:r>
            <w:bookmarkEnd w:id="38"/>
            <w:r/>
            <w:bookmarkEnd w:id="39"/>
            <w:r>
              <w:rPr>
                <w:rFonts w:hint="eastAsia"/>
                <w:color w:val="auto"/>
                <w:sz w:val="21"/>
                <w:szCs w:val="21"/>
                <w:highlight w:val="none"/>
                <w:lang w:bidi="ar"/>
              </w:rPr>
              <w:t xml:space="preserve">25kg/24h，储冰量10kg。</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2、功率消耗：输入功率180W，耗水量≤0.8L/H。</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3、外形尺寸：</w:t>
            </w:r>
            <w:r>
              <w:rPr>
                <w:rFonts w:hint="eastAsia" w:asciiTheme="minorEastAsia" w:hAnsiTheme="minorEastAsia" w:eastAsiaTheme="minorEastAsia"/>
                <w:color w:val="auto"/>
                <w:sz w:val="21"/>
                <w:szCs w:val="21"/>
                <w:highlight w:val="none"/>
              </w:rPr>
              <w:t xml:space="preserve">≥</w:t>
            </w:r>
            <w:r>
              <w:rPr>
                <w:rFonts w:hint="eastAsia"/>
                <w:color w:val="auto"/>
                <w:sz w:val="21"/>
                <w:szCs w:val="21"/>
                <w:highlight w:val="none"/>
                <w:lang w:bidi="ar"/>
              </w:rPr>
              <w:t xml:space="preserve">300×49</w:t>
            </w:r>
            <w:r>
              <w:rPr>
                <w:rFonts w:hint="eastAsia"/>
                <w:color w:val="auto"/>
                <w:sz w:val="21"/>
                <w:szCs w:val="21"/>
                <w:highlight w:val="none"/>
                <w:lang w:val="en-US" w:bidi="ar"/>
              </w:rPr>
              <w:t xml:space="preserve">0</w:t>
            </w:r>
            <w:r>
              <w:rPr>
                <w:rFonts w:hint="eastAsia"/>
                <w:color w:val="auto"/>
                <w:sz w:val="21"/>
                <w:szCs w:val="21"/>
                <w:highlight w:val="none"/>
                <w:lang w:bidi="ar"/>
              </w:rPr>
              <w:t xml:space="preserve">×54</w:t>
            </w:r>
            <w:r>
              <w:rPr>
                <w:rFonts w:hint="eastAsia"/>
                <w:color w:val="auto"/>
                <w:sz w:val="21"/>
                <w:szCs w:val="21"/>
                <w:highlight w:val="none"/>
                <w:lang w:val="en-US" w:bidi="ar"/>
              </w:rPr>
              <w:t xml:space="preserve">0</w:t>
            </w:r>
            <w:r>
              <w:rPr>
                <w:rFonts w:hint="eastAsia"/>
                <w:color w:val="auto"/>
                <w:sz w:val="21"/>
                <w:szCs w:val="21"/>
                <w:highlight w:val="none"/>
                <w:lang w:bidi="ar"/>
              </w:rPr>
              <w:t xml:space="preserve">mm。</w:t>
            </w:r>
            <w:r>
              <w:rPr>
                <w:rFonts w:hint="eastAsia" w:ascii="MS Gothic" w:hAnsi="MS Gothic" w:eastAsia="MS Gothic" w:cs="MS Gothic"/>
                <w:color w:val="auto"/>
                <w:sz w:val="21"/>
                <w:szCs w:val="21"/>
                <w:highlight w:val="none"/>
                <w:lang w:bidi="ar"/>
              </w:rPr>
              <w:t xml:space="preserve">​</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4、制冷系统：风冷冷凝方式，无氟R134a压缩机。</w:t>
            </w:r>
            <w:r>
              <w:rPr>
                <w:rFonts w:hint="eastAsia" w:ascii="MS Gothic" w:hAnsi="MS Gothic" w:eastAsia="MS Gothic" w:cs="MS Gothic"/>
                <w:color w:val="auto"/>
                <w:sz w:val="21"/>
                <w:szCs w:val="21"/>
                <w:highlight w:val="none"/>
                <w:lang w:bidi="ar"/>
              </w:rPr>
              <w:t xml:space="preserve">​</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5、冰型特点：不规则细小颗粒状雪花碎冰，能渗入狭窄间隙，冷却速度快</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w:t>
            </w:r>
            <w:r>
              <w:rPr>
                <w:color w:val="auto"/>
                <w:highlight w:val="none"/>
              </w:rPr>
              <w:t xml:space="preserve">1</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循环水真空泵</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真空度0.098MPa，流量10L/min</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w:t>
            </w:r>
            <w:r>
              <w:rPr>
                <w:color w:val="auto"/>
                <w:highlight w:val="none"/>
              </w:rPr>
              <w:t xml:space="preserve">2</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阿贝折射仪</w:t>
            </w:r>
            <w:r/>
          </w:p>
        </w:tc>
        <w:tc>
          <w:tcPr>
            <w:tcW w:w="7796" w:type="dxa"/>
            <w:vAlign w:val="center"/>
            <w:textDirection w:val="lrTb"/>
            <w:noWrap w:val="false"/>
          </w:tcPr>
          <w:p>
            <w:pPr>
              <w:contextualSpacing/>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、折射率范围（nD）：1.3000~1.7000</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、糖度范围（Brix）：0~95%</w:t>
            </w:r>
            <w:r/>
          </w:p>
          <w:p>
            <w:pPr>
              <w:contextualSpacing/>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、准确度（nD）：±0.0003（估计读数）</w:t>
            </w:r>
            <w:r/>
          </w:p>
          <w:p>
            <w:pPr>
              <w:contextualSpacing/>
              <w:rPr>
                <w:color w:val="auto"/>
                <w:sz w:val="21"/>
                <w:szCs w:val="21"/>
                <w:highlight w:val="none"/>
              </w:rPr>
            </w:pPr>
            <w:r>
              <w:rPr>
                <w:rFonts w:hint="eastAsia"/>
                <w:color w:val="auto"/>
                <w:sz w:val="21"/>
                <w:szCs w:val="21"/>
                <w:highlight w:val="none"/>
              </w:rPr>
              <w:t xml:space="preserve">4、 平均色散示值：±0.0005</w:t>
            </w:r>
            <w:r/>
          </w:p>
          <w:p>
            <w:pPr>
              <w:contextualSpacing/>
              <w:rPr>
                <w:color w:val="auto"/>
                <w:sz w:val="21"/>
                <w:szCs w:val="21"/>
                <w:highlight w:val="none"/>
              </w:rPr>
            </w:pPr>
            <w:r>
              <w:rPr>
                <w:rFonts w:hint="eastAsia"/>
                <w:color w:val="auto"/>
                <w:sz w:val="21"/>
                <w:szCs w:val="21"/>
                <w:highlight w:val="none"/>
              </w:rPr>
              <w:t xml:space="preserve">5、 温度显示：数字温度计</w:t>
            </w:r>
            <w:r/>
          </w:p>
          <w:p>
            <w:pPr>
              <w:contextualSpacing/>
              <w:rPr>
                <w:color w:val="auto"/>
                <w:sz w:val="21"/>
                <w:szCs w:val="21"/>
                <w:highlight w:val="none"/>
              </w:rPr>
            </w:pPr>
            <w:r>
              <w:rPr>
                <w:color w:val="auto"/>
                <w:sz w:val="21"/>
                <w:szCs w:val="21"/>
                <w:highlight w:val="none"/>
              </w:rPr>
              <w:t xml:space="preserve">6</w:t>
            </w:r>
            <w:r>
              <w:rPr>
                <w:rFonts w:hint="eastAsia"/>
                <w:color w:val="auto"/>
                <w:sz w:val="21"/>
                <w:szCs w:val="21"/>
                <w:highlight w:val="none"/>
              </w:rPr>
              <w:t xml:space="preserve">、 观察方式：双目</w:t>
            </w:r>
            <w:r/>
          </w:p>
          <w:p>
            <w:pPr>
              <w:contextualSpacing/>
              <w:rPr>
                <w:color w:val="auto"/>
                <w:sz w:val="21"/>
                <w:szCs w:val="21"/>
                <w:highlight w:val="none"/>
              </w:rPr>
            </w:pPr>
            <w:r>
              <w:rPr>
                <w:color w:val="auto"/>
                <w:sz w:val="21"/>
                <w:szCs w:val="21"/>
                <w:highlight w:val="none"/>
              </w:rPr>
              <w:t xml:space="preserve">7</w:t>
            </w:r>
            <w:r>
              <w:rPr>
                <w:rFonts w:hint="eastAsia"/>
                <w:color w:val="auto"/>
                <w:sz w:val="21"/>
                <w:szCs w:val="21"/>
                <w:highlight w:val="none"/>
              </w:rPr>
              <w:t xml:space="preserve">、 仪器尺寸：</w:t>
            </w:r>
            <w:r>
              <w:rPr>
                <w:rFonts w:hint="eastAsia" w:asciiTheme="minorEastAsia" w:hAnsiTheme="minorEastAsia" w:eastAsiaTheme="minorEastAsia"/>
                <w:color w:val="auto"/>
                <w:sz w:val="21"/>
                <w:szCs w:val="21"/>
                <w:highlight w:val="none"/>
              </w:rPr>
              <w:t xml:space="preserve">≥</w:t>
            </w:r>
            <w:r>
              <w:rPr>
                <w:rFonts w:hint="eastAsia"/>
                <w:color w:val="auto"/>
                <w:sz w:val="21"/>
                <w:szCs w:val="21"/>
                <w:highlight w:val="none"/>
              </w:rPr>
              <w:t xml:space="preserve">160mm×140mm×100mm</w:t>
            </w:r>
            <w:r/>
          </w:p>
          <w:p>
            <w:pPr>
              <w:contextualSpacing/>
              <w:rPr>
                <w:color w:val="auto"/>
                <w:sz w:val="21"/>
                <w:szCs w:val="21"/>
                <w:highlight w:val="none"/>
              </w:rPr>
            </w:pPr>
            <w:r>
              <w:rPr>
                <w:color w:val="auto"/>
                <w:sz w:val="21"/>
                <w:szCs w:val="21"/>
                <w:highlight w:val="none"/>
              </w:rPr>
              <w:t xml:space="preserve">8</w:t>
            </w:r>
            <w:r>
              <w:rPr>
                <w:rFonts w:hint="eastAsia"/>
                <w:color w:val="auto"/>
                <w:sz w:val="21"/>
                <w:szCs w:val="21"/>
                <w:highlight w:val="none"/>
              </w:rPr>
              <w:t xml:space="preserve">、 仪器重量：3kg</w:t>
            </w:r>
            <w:r/>
          </w:p>
          <w:p>
            <w:pPr>
              <w:contextualSpacing/>
              <w:rPr>
                <w:color w:val="auto"/>
                <w:sz w:val="21"/>
                <w:szCs w:val="21"/>
                <w:highlight w:val="none"/>
              </w:rPr>
            </w:pPr>
            <w:r>
              <w:rPr>
                <w:color w:val="auto"/>
                <w:sz w:val="21"/>
                <w:szCs w:val="21"/>
                <w:highlight w:val="none"/>
              </w:rPr>
              <w:t xml:space="preserve">9</w:t>
            </w:r>
            <w:r>
              <w:rPr>
                <w:rFonts w:hint="eastAsia"/>
                <w:color w:val="auto"/>
                <w:sz w:val="21"/>
                <w:szCs w:val="21"/>
                <w:highlight w:val="none"/>
              </w:rPr>
              <w:t xml:space="preserve">、性能特点</w:t>
            </w:r>
            <w:r/>
          </w:p>
          <w:p>
            <w:pPr>
              <w:contextualSpacing/>
              <w:rPr>
                <w:color w:val="auto"/>
                <w:sz w:val="21"/>
                <w:szCs w:val="21"/>
                <w:highlight w:val="none"/>
              </w:rPr>
            </w:pPr>
            <w:r>
              <w:rPr>
                <w:color w:val="auto"/>
                <w:sz w:val="21"/>
                <w:szCs w:val="21"/>
                <w:highlight w:val="none"/>
              </w:rPr>
              <w:t xml:space="preserve">9</w:t>
            </w:r>
            <w:r>
              <w:rPr>
                <w:rFonts w:hint="eastAsia"/>
                <w:color w:val="auto"/>
                <w:sz w:val="21"/>
                <w:szCs w:val="21"/>
                <w:highlight w:val="none"/>
              </w:rPr>
              <w:t xml:space="preserve">.1 采用目视瞄准，光学刻盘读数，温度数显。</w:t>
            </w:r>
            <w:r/>
          </w:p>
          <w:p>
            <w:pPr>
              <w:contextualSpacing/>
              <w:rPr>
                <w:color w:val="auto"/>
                <w:sz w:val="21"/>
                <w:szCs w:val="21"/>
                <w:highlight w:val="none"/>
              </w:rPr>
            </w:pPr>
            <w:r>
              <w:rPr>
                <w:color w:val="auto"/>
                <w:sz w:val="21"/>
                <w:szCs w:val="21"/>
                <w:highlight w:val="none"/>
              </w:rPr>
              <w:t xml:space="preserve">9</w:t>
            </w:r>
            <w:r>
              <w:rPr>
                <w:rFonts w:hint="eastAsia"/>
                <w:color w:val="auto"/>
                <w:sz w:val="21"/>
                <w:szCs w:val="21"/>
                <w:highlight w:val="none"/>
              </w:rPr>
              <w:t xml:space="preserve">.2 基座采用不锈钢材质，棱镜采用硬质玻璃，不易磨损。</w:t>
            </w:r>
            <w:r/>
          </w:p>
          <w:p>
            <w:pPr>
              <w:contextualSpacing/>
              <w:rPr>
                <w:color w:val="auto"/>
                <w:sz w:val="21"/>
                <w:szCs w:val="21"/>
                <w:highlight w:val="none"/>
              </w:rPr>
            </w:pPr>
            <w:r>
              <w:rPr>
                <w:color w:val="auto"/>
                <w:sz w:val="21"/>
                <w:szCs w:val="21"/>
                <w:highlight w:val="none"/>
              </w:rPr>
              <w:t xml:space="preserve">9</w:t>
            </w:r>
            <w:r>
              <w:rPr>
                <w:rFonts w:hint="eastAsia"/>
                <w:color w:val="auto"/>
                <w:sz w:val="21"/>
                <w:szCs w:val="21"/>
                <w:highlight w:val="none"/>
              </w:rPr>
              <w:t xml:space="preserve">.3 内置流通池可配置专用的恒温水浴槽，满足在恒定温度下的测量。</w:t>
            </w:r>
            <w:r/>
          </w:p>
          <w:p>
            <w:pPr>
              <w:contextualSpacing/>
              <w:rPr>
                <w:color w:val="auto"/>
                <w:sz w:val="21"/>
                <w:szCs w:val="21"/>
                <w:highlight w:val="none"/>
              </w:rPr>
            </w:pPr>
            <w:r>
              <w:rPr>
                <w:color w:val="auto"/>
                <w:sz w:val="21"/>
                <w:szCs w:val="21"/>
                <w:highlight w:val="none"/>
              </w:rPr>
              <w:t xml:space="preserve">10</w:t>
            </w:r>
            <w:r>
              <w:rPr>
                <w:rFonts w:hint="eastAsia"/>
                <w:color w:val="auto"/>
                <w:sz w:val="21"/>
                <w:szCs w:val="21"/>
                <w:highlight w:val="none"/>
              </w:rPr>
              <w:t xml:space="preserve">. 基本配置</w:t>
            </w:r>
            <w:r/>
          </w:p>
          <w:p>
            <w:pPr>
              <w:contextualSpacing/>
              <w:rPr>
                <w:color w:val="auto"/>
                <w:sz w:val="21"/>
                <w:szCs w:val="21"/>
                <w:highlight w:val="none"/>
              </w:rPr>
            </w:pPr>
            <w:r>
              <w:rPr>
                <w:rFonts w:hint="eastAsia"/>
                <w:color w:val="auto"/>
                <w:sz w:val="21"/>
                <w:szCs w:val="21"/>
                <w:highlight w:val="none"/>
              </w:rPr>
              <w:t xml:space="preserve">主机1台</w:t>
            </w:r>
            <w:r/>
          </w:p>
          <w:p>
            <w:pPr>
              <w:contextualSpacing/>
              <w:rPr>
                <w:color w:val="auto"/>
                <w:sz w:val="21"/>
                <w:szCs w:val="21"/>
                <w:highlight w:val="none"/>
              </w:rPr>
            </w:pPr>
            <w:r>
              <w:rPr>
                <w:rFonts w:hint="eastAsia"/>
                <w:color w:val="auto"/>
                <w:sz w:val="21"/>
                <w:szCs w:val="21"/>
                <w:highlight w:val="none"/>
              </w:rPr>
              <w:t xml:space="preserve">温度计1个</w:t>
            </w:r>
            <w:r/>
          </w:p>
          <w:p>
            <w:pPr>
              <w:contextualSpacing/>
              <w:rPr>
                <w:color w:val="auto"/>
                <w:sz w:val="21"/>
                <w:szCs w:val="21"/>
                <w:highlight w:val="none"/>
              </w:rPr>
            </w:pPr>
            <w:r>
              <w:rPr>
                <w:rFonts w:hint="eastAsia"/>
                <w:color w:val="auto"/>
                <w:sz w:val="21"/>
                <w:szCs w:val="21"/>
                <w:highlight w:val="none"/>
              </w:rPr>
              <w:t xml:space="preserve">螺丝刀1把</w:t>
            </w:r>
            <w:r/>
          </w:p>
          <w:p>
            <w:pPr>
              <w:pStyle w:val="939"/>
              <w:contextualSpacing/>
              <w:ind w:left="0" w:firstLine="0"/>
              <w:rPr>
                <w:color w:val="auto"/>
                <w:sz w:val="21"/>
                <w:szCs w:val="21"/>
                <w:highlight w:val="none"/>
                <w:lang w:bidi="ar"/>
              </w:rPr>
            </w:pPr>
            <w:r>
              <w:rPr>
                <w:rFonts w:hint="eastAsia"/>
                <w:color w:val="auto"/>
                <w:sz w:val="21"/>
                <w:szCs w:val="21"/>
                <w:highlight w:val="none"/>
              </w:rPr>
              <w:t xml:space="preserve">说明书、保修卡合格证1份</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w:t>
            </w:r>
            <w:r>
              <w:rPr>
                <w:color w:val="auto"/>
                <w:highlight w:val="none"/>
              </w:rPr>
              <w:t xml:space="preserve">3</w:t>
            </w:r>
            <w:r/>
          </w:p>
        </w:tc>
        <w:tc>
          <w:tcPr>
            <w:tcW w:w="1701" w:type="dxa"/>
            <w:vAlign w:val="center"/>
            <w:textDirection w:val="lrTb"/>
            <w:noWrap w:val="false"/>
          </w:tcPr>
          <w:p>
            <w:pPr>
              <w:widowControl/>
              <w:rPr>
                <w:color w:val="auto"/>
                <w:highlight w:val="none"/>
                <w:lang w:bidi="ar"/>
              </w:rPr>
            </w:pPr>
            <w:r/>
            <w:bookmarkStart w:id="40" w:name="OLE_LINK48"/>
            <w:r/>
            <w:bookmarkStart w:id="41" w:name="OLE_LINK49"/>
            <w:r>
              <w:rPr>
                <w:rFonts w:hint="eastAsia"/>
                <w:color w:val="auto"/>
                <w:highlight w:val="none"/>
                <w:lang w:bidi="ar"/>
              </w:rPr>
              <w:t xml:space="preserve">货架</w:t>
            </w:r>
            <w:bookmarkEnd w:id="40"/>
            <w:r/>
            <w:bookmarkEnd w:id="41"/>
            <w:r/>
            <w:r/>
          </w:p>
        </w:tc>
        <w:tc>
          <w:tcPr>
            <w:tcW w:w="7796" w:type="dxa"/>
            <w:vAlign w:val="center"/>
            <w:textDirection w:val="lrTb"/>
            <w:noWrap w:val="false"/>
          </w:tcPr>
          <w:p>
            <w:pPr>
              <w:pStyle w:val="939"/>
              <w:contextualSpacing/>
              <w:ind w:left="0" w:firstLine="0"/>
              <w:rPr>
                <w:color w:val="auto"/>
                <w:sz w:val="21"/>
                <w:szCs w:val="21"/>
                <w:highlight w:val="none"/>
                <w:lang w:bidi="ar"/>
              </w:rPr>
            </w:pPr>
            <w:r>
              <w:rPr>
                <w:color w:val="auto"/>
                <w:sz w:val="21"/>
                <w:szCs w:val="21"/>
                <w:highlight w:val="none"/>
                <w:lang w:bidi="ar"/>
              </w:rPr>
              <w:t xml:space="preserve">1</w:t>
            </w:r>
            <w:r>
              <w:rPr>
                <w:rFonts w:hint="eastAsia"/>
                <w:color w:val="auto"/>
                <w:sz w:val="21"/>
                <w:szCs w:val="21"/>
                <w:highlight w:val="none"/>
                <w:lang w:bidi="ar"/>
              </w:rPr>
              <w:t xml:space="preserve">、规格：1500*500*2000mm</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2、立柱：1.5mm冷轧钢板焊接打磨表面喷涂环氧树脂粉末喷涂</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3、层板：0.8mm冷轧钢板，可上下调节</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4、样式：五层四格</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5、重型货架，承重500kg/层</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w:t>
            </w:r>
            <w:r>
              <w:rPr>
                <w:color w:val="auto"/>
                <w:highlight w:val="none"/>
              </w:rPr>
              <w:t xml:space="preserve">4</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台秤</w:t>
            </w:r>
            <w:r/>
          </w:p>
        </w:tc>
        <w:tc>
          <w:tcPr>
            <w:tcW w:w="7796" w:type="dxa"/>
            <w:vAlign w:val="center"/>
            <w:textDirection w:val="lrTb"/>
            <w:noWrap w:val="false"/>
          </w:tcPr>
          <w:p>
            <w:pPr>
              <w:pStyle w:val="939"/>
              <w:contextualSpacing/>
              <w:ind w:left="0" w:firstLine="0"/>
              <w:rPr>
                <w:color w:val="auto"/>
                <w:sz w:val="21"/>
                <w:szCs w:val="21"/>
                <w:highlight w:val="none"/>
              </w:rPr>
            </w:pPr>
            <w:r>
              <w:rPr>
                <w:rFonts w:hint="eastAsia"/>
                <w:color w:val="auto"/>
                <w:sz w:val="21"/>
                <w:szCs w:val="21"/>
                <w:highlight w:val="none"/>
              </w:rPr>
              <w:t xml:space="preserve">1、带背光液晶显示屏，高灵敏度轻触按键，中文按键操作简便。</w:t>
            </w:r>
            <w:r/>
          </w:p>
          <w:p>
            <w:pPr>
              <w:pStyle w:val="939"/>
              <w:contextualSpacing/>
              <w:ind w:left="0" w:firstLine="0"/>
              <w:rPr>
                <w:color w:val="auto"/>
                <w:sz w:val="21"/>
                <w:szCs w:val="21"/>
                <w:highlight w:val="none"/>
              </w:rPr>
            </w:pPr>
            <w:r>
              <w:rPr>
                <w:rFonts w:hint="eastAsia"/>
                <w:color w:val="auto"/>
                <w:sz w:val="21"/>
                <w:szCs w:val="21"/>
                <w:highlight w:val="none"/>
              </w:rPr>
              <w:t xml:space="preserve">2、具有传感器保护保护功能，最大限度保护传感器不受外力损害</w:t>
            </w:r>
            <w:r/>
          </w:p>
          <w:p>
            <w:pPr>
              <w:pStyle w:val="939"/>
              <w:contextualSpacing/>
              <w:ind w:left="0" w:firstLine="0"/>
              <w:rPr>
                <w:color w:val="auto"/>
                <w:sz w:val="21"/>
                <w:szCs w:val="21"/>
                <w:highlight w:val="none"/>
              </w:rPr>
            </w:pPr>
            <w:r>
              <w:rPr>
                <w:rFonts w:hint="eastAsia"/>
                <w:color w:val="auto"/>
                <w:sz w:val="21"/>
                <w:szCs w:val="21"/>
                <w:highlight w:val="none"/>
              </w:rPr>
              <w:t xml:space="preserve">3、标配RS232接口,多种单位转换</w:t>
            </w:r>
            <w:r/>
          </w:p>
          <w:p>
            <w:pPr>
              <w:pStyle w:val="939"/>
              <w:contextualSpacing/>
              <w:ind w:left="0" w:firstLine="0"/>
              <w:rPr>
                <w:color w:val="auto"/>
                <w:sz w:val="21"/>
                <w:szCs w:val="21"/>
                <w:highlight w:val="none"/>
              </w:rPr>
            </w:pPr>
            <w:r>
              <w:rPr>
                <w:rFonts w:hint="eastAsia"/>
                <w:color w:val="auto"/>
                <w:sz w:val="21"/>
                <w:szCs w:val="21"/>
                <w:highlight w:val="none"/>
              </w:rPr>
              <w:t xml:space="preserve">4、具有过载保护秤盘功能（采用秤盘锁死结构，防止称量过载，保护传感器）。</w:t>
            </w:r>
            <w:r/>
          </w:p>
          <w:p>
            <w:pPr>
              <w:pStyle w:val="939"/>
              <w:contextualSpacing/>
              <w:ind w:left="0" w:firstLine="0"/>
              <w:rPr>
                <w:color w:val="auto"/>
                <w:sz w:val="21"/>
                <w:szCs w:val="21"/>
                <w:highlight w:val="none"/>
              </w:rPr>
            </w:pPr>
            <w:r>
              <w:rPr>
                <w:rFonts w:hint="eastAsia"/>
                <w:color w:val="auto"/>
                <w:sz w:val="21"/>
                <w:szCs w:val="21"/>
                <w:highlight w:val="none"/>
              </w:rPr>
              <w:t xml:space="preserve">5、实际分度值：0.1g</w:t>
            </w:r>
            <w:r/>
          </w:p>
          <w:p>
            <w:pPr>
              <w:pStyle w:val="939"/>
              <w:contextualSpacing/>
              <w:ind w:left="0" w:firstLine="0"/>
              <w:rPr>
                <w:color w:val="auto"/>
                <w:sz w:val="21"/>
                <w:szCs w:val="21"/>
                <w:highlight w:val="none"/>
              </w:rPr>
            </w:pPr>
            <w:r>
              <w:rPr>
                <w:rFonts w:hint="eastAsia"/>
                <w:color w:val="auto"/>
                <w:sz w:val="21"/>
                <w:szCs w:val="21"/>
                <w:highlight w:val="none"/>
              </w:rPr>
              <w:t xml:space="preserve">6、最大称量范围：1000g</w:t>
            </w:r>
            <w:r/>
          </w:p>
          <w:p>
            <w:pPr>
              <w:pStyle w:val="939"/>
              <w:contextualSpacing/>
              <w:ind w:left="0" w:firstLine="0"/>
              <w:rPr>
                <w:color w:val="auto"/>
                <w:sz w:val="21"/>
                <w:szCs w:val="21"/>
                <w:highlight w:val="none"/>
              </w:rPr>
            </w:pPr>
            <w:r>
              <w:rPr>
                <w:rFonts w:hint="eastAsia"/>
                <w:color w:val="auto"/>
                <w:sz w:val="21"/>
                <w:szCs w:val="21"/>
                <w:highlight w:val="none"/>
              </w:rPr>
              <w:t xml:space="preserve">7、可重复性标准偏差：±0.1g</w:t>
            </w:r>
            <w:r/>
          </w:p>
          <w:p>
            <w:pPr>
              <w:pStyle w:val="939"/>
              <w:contextualSpacing/>
              <w:ind w:left="0" w:firstLine="0"/>
              <w:rPr>
                <w:color w:val="auto"/>
                <w:sz w:val="21"/>
                <w:szCs w:val="21"/>
                <w:highlight w:val="none"/>
              </w:rPr>
            </w:pPr>
            <w:r>
              <w:rPr>
                <w:rFonts w:hint="eastAsia"/>
                <w:color w:val="auto"/>
                <w:sz w:val="21"/>
                <w:szCs w:val="21"/>
                <w:highlight w:val="none"/>
              </w:rPr>
              <w:t xml:space="preserve">8、线性：≤ ±0.2mg</w:t>
            </w:r>
            <w:r/>
          </w:p>
          <w:p>
            <w:pPr>
              <w:pStyle w:val="939"/>
              <w:contextualSpacing/>
              <w:ind w:left="0" w:firstLine="0"/>
              <w:rPr>
                <w:color w:val="auto"/>
                <w:sz w:val="21"/>
                <w:szCs w:val="21"/>
                <w:highlight w:val="none"/>
              </w:rPr>
            </w:pPr>
            <w:r>
              <w:rPr>
                <w:rFonts w:hint="eastAsia"/>
                <w:color w:val="auto"/>
                <w:sz w:val="21"/>
                <w:szCs w:val="21"/>
                <w:highlight w:val="none"/>
                <w:lang w:val="en-US"/>
              </w:rPr>
              <w:t xml:space="preserve">9</w:t>
            </w:r>
            <w:r>
              <w:rPr>
                <w:rFonts w:hint="eastAsia"/>
                <w:color w:val="auto"/>
                <w:sz w:val="21"/>
                <w:szCs w:val="21"/>
                <w:highlight w:val="none"/>
              </w:rPr>
              <w:t xml:space="preserve">、秤盘尺寸：Ф130mm</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w:t>
            </w:r>
            <w:r>
              <w:rPr>
                <w:color w:val="auto"/>
                <w:highlight w:val="none"/>
              </w:rPr>
              <w:t xml:space="preserve">5</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恒温水浴锅</w:t>
            </w:r>
            <w:r/>
          </w:p>
        </w:tc>
        <w:tc>
          <w:tcPr>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1、加热功率:</w:t>
            </w:r>
            <w:r>
              <w:rPr>
                <w:rFonts w:hint="eastAsia"/>
                <w:color w:val="auto"/>
                <w:highlight w:val="none"/>
                <w:lang w:val="en-US"/>
              </w:rPr>
              <w:t xml:space="preserve">700-900W</w:t>
            </w:r>
            <w:r/>
          </w:p>
          <w:p>
            <w:pPr>
              <w:contextualSpacing/>
              <w:rPr>
                <w:color w:val="auto"/>
                <w:sz w:val="21"/>
                <w:szCs w:val="21"/>
                <w:highlight w:val="none"/>
              </w:rPr>
            </w:pPr>
            <w:r>
              <w:rPr>
                <w:rFonts w:hint="eastAsia"/>
                <w:color w:val="auto"/>
                <w:sz w:val="21"/>
                <w:szCs w:val="21"/>
                <w:highlight w:val="none"/>
              </w:rPr>
              <w:t xml:space="preserve">2、温控范围:室温至100度</w:t>
            </w:r>
            <w:r/>
          </w:p>
          <w:p>
            <w:pPr>
              <w:contextualSpacing/>
              <w:rPr>
                <w:color w:val="auto"/>
                <w:sz w:val="21"/>
                <w:szCs w:val="21"/>
                <w:highlight w:val="none"/>
              </w:rPr>
            </w:pPr>
            <w:r>
              <w:rPr>
                <w:rFonts w:hint="eastAsia"/>
                <w:color w:val="auto"/>
                <w:sz w:val="21"/>
                <w:szCs w:val="21"/>
                <w:highlight w:val="none"/>
              </w:rPr>
              <w:t xml:space="preserve">3、温升速度:100度≤70MIN</w:t>
            </w:r>
            <w:r/>
          </w:p>
          <w:p>
            <w:pPr>
              <w:contextualSpacing/>
              <w:rPr>
                <w:color w:val="auto"/>
                <w:sz w:val="21"/>
                <w:szCs w:val="21"/>
                <w:highlight w:val="none"/>
              </w:rPr>
            </w:pPr>
            <w:r>
              <w:rPr>
                <w:rFonts w:hint="eastAsia"/>
                <w:color w:val="auto"/>
                <w:sz w:val="21"/>
                <w:szCs w:val="21"/>
                <w:highlight w:val="none"/>
              </w:rPr>
              <w:t xml:space="preserve">4、控温精度:≤0.5度</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w:t>
            </w:r>
            <w:r>
              <w:rPr>
                <w:color w:val="auto"/>
                <w:highlight w:val="none"/>
              </w:rPr>
              <w:t xml:space="preserve">6</w:t>
            </w:r>
            <w:r/>
          </w:p>
        </w:tc>
        <w:tc>
          <w:tcPr>
            <w:tcW w:w="1701" w:type="dxa"/>
            <w:vAlign w:val="center"/>
            <w:textDirection w:val="lrTb"/>
            <w:noWrap w:val="false"/>
          </w:tcPr>
          <w:p>
            <w:pPr>
              <w:widowControl/>
              <w:rPr>
                <w:color w:val="auto"/>
                <w:highlight w:val="none"/>
                <w:lang w:bidi="ar"/>
              </w:rPr>
            </w:pPr>
            <w:r/>
            <w:bookmarkStart w:id="42" w:name="OLE_LINK50"/>
            <w:r/>
            <w:bookmarkStart w:id="43" w:name="OLE_LINK51"/>
            <w:r>
              <w:rPr>
                <w:rFonts w:hint="eastAsia"/>
                <w:color w:val="auto"/>
                <w:highlight w:val="none"/>
                <w:lang w:bidi="ar"/>
              </w:rPr>
              <w:t xml:space="preserve">紫外可见分光光度计</w:t>
            </w:r>
            <w:bookmarkEnd w:id="42"/>
            <w:r/>
            <w:bookmarkEnd w:id="43"/>
            <w:r>
              <w:rPr>
                <w:rFonts w:hint="eastAsia"/>
                <w:b/>
                <w:color w:val="auto"/>
                <w:highlight w:val="none"/>
              </w:rPr>
              <w:t xml:space="preserve">（</w:t>
            </w:r>
            <w:r>
              <w:rPr>
                <w:rFonts w:hint="eastAsia"/>
                <w:b/>
                <w:color w:val="auto"/>
                <w:highlight w:val="none"/>
                <w:lang w:val="en-US"/>
              </w:rPr>
              <w:t xml:space="preserve">核心产品</w:t>
            </w:r>
            <w:r>
              <w:rPr>
                <w:rFonts w:hint="eastAsia"/>
                <w:b/>
                <w:color w:val="auto"/>
                <w:highlight w:val="none"/>
              </w:rPr>
              <w:t xml:space="preserve">）</w:t>
            </w:r>
            <w:r/>
          </w:p>
        </w:tc>
        <w:tc>
          <w:tcPr>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 工作条件</w:t>
            </w:r>
            <w:r/>
          </w:p>
          <w:p>
            <w:pPr>
              <w:contextualSpacing/>
              <w:rPr>
                <w:color w:val="auto"/>
                <w:sz w:val="21"/>
                <w:szCs w:val="21"/>
                <w:highlight w:val="none"/>
              </w:rPr>
            </w:pPr>
            <w:r>
              <w:rPr>
                <w:rFonts w:hint="eastAsia"/>
                <w:color w:val="auto"/>
                <w:sz w:val="21"/>
                <w:szCs w:val="21"/>
                <w:highlight w:val="none"/>
              </w:rPr>
              <w:t xml:space="preserve">1.1 使用环境：温度 5℃-35℃ ，相对湿度≤85%</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.技术规格</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.1 光谱带宽：2.0nm</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.2 波长范围：190~1100nm</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.3 光学系统：单光束光路，全息衍射光栅</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.4 波长准确度：±0.8nm</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.5 波长重复性：≤0.2nm</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.6 波长设定：自动设定波长，波长分辨率0.1nm</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.7 光度范围：0~200%T, -0.3~3A, 0~9999C, 0~9999F</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.8 光度准确度：±0.002A (0~0.5A), ±0.004A (0.5~1A), ±0.3%T (0~100%T)</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.9 光度重复性：≤0.001A (0~0.5A), ≤0.002A (0.5~1A), ≤0.2%T (0~100%T)</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.10 杂散光：≤0.1%T (220/360nm)</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.11 基线漂移(稳定性)：≤0.002A/h (500nm,0A)</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.12 基线平直度：±0.003A</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.13 检测器：硅光电二极管</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.14 光源：长寿命钨灯和氘灯（免光学调试）</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.15 显示：3寸128*64点阵液晶显示</w:t>
            </w:r>
            <w:r>
              <w:rPr>
                <w:color w:val="auto"/>
                <w:sz w:val="21"/>
                <w:szCs w:val="21"/>
                <w:highlight w:val="none"/>
              </w:rPr>
              <w:t xml:space="preserve"> </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.1</w:t>
            </w:r>
            <w:r>
              <w:rPr>
                <w:color w:val="auto"/>
                <w:sz w:val="21"/>
                <w:szCs w:val="21"/>
                <w:highlight w:val="none"/>
              </w:rPr>
              <w:t xml:space="preserve">6</w:t>
            </w:r>
            <w:r>
              <w:rPr>
                <w:rFonts w:hint="eastAsia"/>
                <w:color w:val="auto"/>
                <w:sz w:val="21"/>
                <w:szCs w:val="21"/>
                <w:highlight w:val="none"/>
              </w:rPr>
              <w:t xml:space="preserve"> 电源：AC90-250V, 50/60Hz</w:t>
            </w:r>
            <w:r/>
          </w:p>
          <w:p>
            <w:pPr>
              <w:contextualSpacing/>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.性能特点</w:t>
            </w:r>
            <w:r/>
          </w:p>
          <w:p>
            <w:pPr>
              <w:contextualSpacing/>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 自动波长校准，自动暗电流和空白校正，自动切换光源和滤光片</w:t>
            </w:r>
            <w:r/>
          </w:p>
          <w:p>
            <w:pPr>
              <w:contextualSpacing/>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.2 宽大样品室，可容纳5-100mm比色皿，支持各种测试所需的附件配件</w:t>
            </w:r>
            <w:r/>
          </w:p>
          <w:p>
            <w:pPr>
              <w:contextualSpacing/>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.3 高品质光学和电子元件，保证仪器的高精度、低杂散光</w:t>
            </w:r>
            <w:r/>
          </w:p>
          <w:p>
            <w:pPr>
              <w:contextualSpacing/>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.4 点阵式液晶显示，数字式薄膜按键输入，界面友好，操作简便</w:t>
            </w:r>
            <w:r/>
          </w:p>
          <w:p>
            <w:pPr>
              <w:contextualSpacing/>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.5 图谱和数据实时保存，并能断电保持，可打印、可导出到PC</w:t>
            </w:r>
            <w:r/>
          </w:p>
          <w:p>
            <w:pPr>
              <w:contextualSpacing/>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.6 坚固的底板和光学支架，进口关键零部件，经久耐用</w:t>
            </w:r>
            <w:r/>
          </w:p>
          <w:p>
            <w:pPr>
              <w:contextualSpacing/>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.7 标配 PC 定量分析软件，联机操作更方便，扩展了数据处理和存储的能力</w:t>
            </w:r>
            <w:r/>
          </w:p>
          <w:p>
            <w:pPr>
              <w:contextualSpacing/>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.基本配置</w:t>
            </w:r>
            <w:r/>
          </w:p>
          <w:p>
            <w:pPr>
              <w:contextualSpacing/>
              <w:rPr>
                <w:color w:val="auto"/>
                <w:sz w:val="21"/>
                <w:szCs w:val="21"/>
                <w:highlight w:val="none"/>
              </w:rPr>
            </w:pPr>
            <w:r>
              <w:rPr>
                <w:rFonts w:hint="eastAsia"/>
                <w:color w:val="auto"/>
                <w:sz w:val="21"/>
                <w:szCs w:val="21"/>
                <w:highlight w:val="none"/>
              </w:rPr>
              <w:t xml:space="preserve">主机1台</w:t>
            </w:r>
            <w:r/>
          </w:p>
          <w:p>
            <w:pPr>
              <w:contextualSpacing/>
              <w:rPr>
                <w:color w:val="auto"/>
                <w:sz w:val="21"/>
                <w:szCs w:val="21"/>
                <w:highlight w:val="none"/>
              </w:rPr>
            </w:pPr>
            <w:r>
              <w:rPr>
                <w:rFonts w:hint="eastAsia"/>
                <w:color w:val="auto"/>
                <w:sz w:val="21"/>
                <w:szCs w:val="21"/>
                <w:highlight w:val="none"/>
              </w:rPr>
              <w:t xml:space="preserve">10mm玻璃比色皿1盒（4支）</w:t>
            </w:r>
            <w:r/>
          </w:p>
          <w:p>
            <w:pPr>
              <w:contextualSpacing/>
              <w:rPr>
                <w:color w:val="auto"/>
                <w:sz w:val="21"/>
                <w:szCs w:val="21"/>
                <w:highlight w:val="none"/>
              </w:rPr>
            </w:pPr>
            <w:r>
              <w:rPr>
                <w:rFonts w:hint="eastAsia"/>
                <w:color w:val="auto"/>
                <w:sz w:val="21"/>
                <w:szCs w:val="21"/>
                <w:highlight w:val="none"/>
              </w:rPr>
              <w:t xml:space="preserve">10mm比色皿架或50mm比色皿架</w:t>
            </w:r>
            <w:r/>
          </w:p>
          <w:p>
            <w:pPr>
              <w:contextualSpacing/>
              <w:rPr>
                <w:color w:val="auto"/>
                <w:sz w:val="21"/>
                <w:szCs w:val="21"/>
                <w:highlight w:val="none"/>
              </w:rPr>
            </w:pPr>
            <w:r>
              <w:rPr>
                <w:rFonts w:hint="eastAsia"/>
                <w:color w:val="auto"/>
                <w:sz w:val="21"/>
                <w:szCs w:val="21"/>
                <w:highlight w:val="none"/>
              </w:rPr>
              <w:t xml:space="preserve">电源线、合格证、说明书</w:t>
            </w:r>
            <w:r/>
          </w:p>
          <w:p>
            <w:pPr>
              <w:pStyle w:val="939"/>
              <w:contextualSpacing/>
              <w:ind w:left="0" w:firstLine="0"/>
              <w:rPr>
                <w:color w:val="auto"/>
                <w:sz w:val="21"/>
                <w:szCs w:val="21"/>
                <w:highlight w:val="none"/>
                <w:lang w:bidi="ar"/>
              </w:rPr>
            </w:pPr>
            <w:r>
              <w:rPr>
                <w:rFonts w:hint="eastAsia"/>
                <w:color w:val="auto"/>
                <w:sz w:val="21"/>
                <w:szCs w:val="21"/>
                <w:highlight w:val="none"/>
              </w:rPr>
              <w:t xml:space="preserve">定量软件1套</w:t>
            </w:r>
            <w:r/>
          </w:p>
        </w:tc>
      </w:tr>
      <w:tr>
        <w:trPr>
          <w:trHeight w:val="2012"/>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w:t>
            </w:r>
            <w:r>
              <w:rPr>
                <w:color w:val="auto"/>
                <w:highlight w:val="none"/>
              </w:rPr>
              <w:t xml:space="preserve">7</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微波消解仪</w:t>
            </w:r>
            <w:r/>
          </w:p>
        </w:tc>
        <w:tc>
          <w:tcPr>
            <w:tcW w:w="7796" w:type="dxa"/>
            <w:vAlign w:val="center"/>
            <w:textDirection w:val="lrTb"/>
            <w:noWrap w:val="false"/>
          </w:tcPr>
          <w:p>
            <w:pPr>
              <w:pStyle w:val="939"/>
              <w:ind w:left="0" w:firstLine="0"/>
              <w:jc w:val="both"/>
              <w:rPr>
                <w:color w:val="auto"/>
                <w:sz w:val="21"/>
                <w:szCs w:val="21"/>
                <w:highlight w:val="none"/>
                <w:lang w:val="en-US"/>
              </w:rPr>
            </w:pPr>
            <w:r>
              <w:rPr>
                <w:rFonts w:hint="eastAsia"/>
                <w:color w:val="auto"/>
                <w:sz w:val="21"/>
                <w:szCs w:val="21"/>
                <w:highlight w:val="none"/>
                <w:lang w:val="en-US"/>
              </w:rPr>
              <w:t xml:space="preserve">1、</w:t>
            </w:r>
            <w:r>
              <w:rPr>
                <w:rFonts w:hint="eastAsia"/>
                <w:color w:val="auto"/>
                <w:sz w:val="21"/>
                <w:szCs w:val="21"/>
                <w:highlight w:val="none"/>
              </w:rPr>
              <w:t xml:space="preserve">6位 COD 快速微波消解仪，配备 6 个 Φ28×120mm 消解罐</w:t>
            </w:r>
            <w:r/>
          </w:p>
          <w:p>
            <w:pPr>
              <w:pStyle w:val="939"/>
              <w:ind w:left="0" w:firstLine="0"/>
              <w:jc w:val="both"/>
              <w:rPr>
                <w:color w:val="auto"/>
                <w:sz w:val="21"/>
                <w:szCs w:val="21"/>
                <w:highlight w:val="none"/>
                <w:lang w:val="en-US"/>
              </w:rPr>
            </w:pPr>
            <w:r>
              <w:rPr>
                <w:rFonts w:hint="eastAsia"/>
                <w:color w:val="auto"/>
                <w:sz w:val="21"/>
                <w:szCs w:val="21"/>
                <w:highlight w:val="none"/>
                <w:lang w:val="en-US"/>
              </w:rPr>
              <w:t xml:space="preserve">2、采用 600W 单磁控管，微波频率2450MHz，无独立精准控温系统，仅支持 0-99min 手动定时，搭载爆破片式简易超压保护与开门断电保护双重安全配置 </w:t>
            </w:r>
            <w:r/>
          </w:p>
          <w:p>
            <w:pPr>
              <w:pStyle w:val="939"/>
              <w:ind w:left="0" w:firstLine="0"/>
              <w:jc w:val="both"/>
              <w:rPr>
                <w:color w:val="auto"/>
                <w:sz w:val="21"/>
                <w:szCs w:val="21"/>
                <w:highlight w:val="none"/>
                <w:lang w:val="en-US"/>
              </w:rPr>
            </w:pPr>
            <w:r>
              <w:rPr>
                <w:rFonts w:hint="eastAsia"/>
                <w:color w:val="auto"/>
                <w:sz w:val="21"/>
                <w:szCs w:val="21"/>
                <w:highlight w:val="none"/>
                <w:lang w:val="en-US"/>
              </w:rPr>
              <w:t xml:space="preserve">3、电源适配 AC220V±10%、50Hz，额定电流≤3A </w:t>
            </w:r>
            <w:r/>
          </w:p>
          <w:p>
            <w:pPr>
              <w:pStyle w:val="939"/>
              <w:ind w:left="0" w:firstLine="0"/>
              <w:jc w:val="both"/>
              <w:rPr>
                <w:color w:val="auto"/>
                <w:sz w:val="21"/>
                <w:szCs w:val="21"/>
                <w:highlight w:val="none"/>
                <w:lang w:val="en-US"/>
              </w:rPr>
            </w:pPr>
            <w:r>
              <w:rPr>
                <w:rFonts w:hint="eastAsia"/>
                <w:color w:val="auto"/>
                <w:sz w:val="21"/>
                <w:szCs w:val="21"/>
                <w:highlight w:val="none"/>
                <w:lang w:val="en-US"/>
              </w:rPr>
              <w:t xml:space="preserve">4、外观尺寸：</w:t>
            </w:r>
            <w:r>
              <w:rPr>
                <w:rFonts w:hint="eastAsia" w:asciiTheme="minorEastAsia" w:hAnsiTheme="minorEastAsia" w:eastAsiaTheme="minorEastAsia"/>
                <w:color w:val="auto"/>
                <w:sz w:val="21"/>
                <w:szCs w:val="21"/>
                <w:highlight w:val="none"/>
              </w:rPr>
              <w:t xml:space="preserve">≥</w:t>
            </w:r>
            <w:r>
              <w:rPr>
                <w:rFonts w:hint="eastAsia"/>
                <w:color w:val="auto"/>
                <w:sz w:val="21"/>
                <w:szCs w:val="21"/>
                <w:highlight w:val="none"/>
                <w:lang w:val="en-US"/>
              </w:rPr>
              <w:t xml:space="preserve"> 450×350×280mm</w:t>
            </w:r>
            <w:r/>
          </w:p>
          <w:p>
            <w:pPr>
              <w:pStyle w:val="939"/>
              <w:contextualSpacing/>
              <w:ind w:left="0" w:firstLine="0"/>
              <w:rPr>
                <w:color w:val="auto"/>
                <w:highlight w:val="none"/>
                <w:lang w:bidi="ar"/>
              </w:rPr>
            </w:pPr>
            <w:r>
              <w:rPr>
                <w:rFonts w:hint="eastAsia"/>
                <w:color w:val="auto"/>
                <w:sz w:val="21"/>
                <w:szCs w:val="21"/>
                <w:highlight w:val="none"/>
                <w:lang w:val="en-US"/>
              </w:rPr>
              <w:t xml:space="preserve">5、通过数码管显示与薄膜按键实现简单操作，仅适合水样 COD、TP、TN 等基础消解演示实验。</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w:t>
            </w:r>
            <w:r>
              <w:rPr>
                <w:color w:val="auto"/>
                <w:highlight w:val="none"/>
              </w:rPr>
              <w:t xml:space="preserve">8</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水质采样器</w:t>
            </w:r>
            <w:r/>
          </w:p>
        </w:tc>
        <w:tc>
          <w:tcPr>
            <w:tcW w:w="7796" w:type="dxa"/>
            <w:vAlign w:val="center"/>
            <w:textDirection w:val="lrTb"/>
            <w:noWrap w:val="false"/>
          </w:tcPr>
          <w:p>
            <w:pPr>
              <w:pStyle w:val="880"/>
              <w:rPr>
                <w:color w:val="auto"/>
                <w:highlight w:val="none"/>
                <w:lang w:val="en-US"/>
              </w:rPr>
            </w:pPr>
            <w:r>
              <w:rPr>
                <w:rFonts w:hint="eastAsia"/>
                <w:color w:val="auto"/>
                <w:highlight w:val="none"/>
              </w:rPr>
              <w:t xml:space="preserve">加厚款，304不锈钢，</w:t>
            </w:r>
            <w:r>
              <w:rPr>
                <w:rFonts w:hint="eastAsia"/>
                <w:color w:val="auto"/>
                <w:highlight w:val="none"/>
                <w:lang w:val="en-US"/>
              </w:rPr>
              <w:t xml:space="preserve">容量</w:t>
            </w:r>
            <w:r>
              <w:rPr>
                <w:rFonts w:hint="eastAsia"/>
                <w:color w:val="auto"/>
                <w:highlight w:val="none"/>
              </w:rPr>
              <w:t xml:space="preserve">2L，</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19</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电位滴定仪</w:t>
            </w:r>
            <w:r/>
          </w:p>
        </w:tc>
        <w:tc>
          <w:tcPr>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1、液晶触摸屏，导航式操作，实时显示测试方法，滴定曲线和测量结果 </w:t>
            </w:r>
            <w:r/>
          </w:p>
          <w:p>
            <w:pPr>
              <w:contextualSpacing/>
              <w:rPr>
                <w:color w:val="auto"/>
                <w:sz w:val="21"/>
                <w:szCs w:val="21"/>
                <w:highlight w:val="none"/>
              </w:rPr>
            </w:pPr>
            <w:r>
              <w:rPr>
                <w:rFonts w:hint="eastAsia"/>
                <w:color w:val="auto"/>
                <w:sz w:val="21"/>
                <w:szCs w:val="21"/>
                <w:highlight w:val="none"/>
              </w:rPr>
              <w:t xml:space="preserve">2、阀门滴定管一体化设计，直接更换，有效避免干扰，支持10mL、20mL滴定管 </w:t>
            </w:r>
            <w:r/>
          </w:p>
          <w:p>
            <w:pPr>
              <w:contextualSpacing/>
              <w:rPr>
                <w:color w:val="auto"/>
                <w:sz w:val="21"/>
                <w:szCs w:val="21"/>
                <w:highlight w:val="none"/>
              </w:rPr>
            </w:pPr>
            <w:r>
              <w:rPr>
                <w:rFonts w:hint="eastAsia"/>
                <w:color w:val="auto"/>
                <w:sz w:val="21"/>
                <w:szCs w:val="21"/>
                <w:highlight w:val="none"/>
              </w:rPr>
              <w:t xml:space="preserve">3、滴定管路采用耐酸碱、耐高氯酸、耐有机试剂腐蚀的材料，可进行非水滴定 </w:t>
            </w:r>
            <w:r/>
          </w:p>
          <w:p>
            <w:pPr>
              <w:contextualSpacing/>
              <w:rPr>
                <w:color w:val="auto"/>
                <w:sz w:val="21"/>
                <w:szCs w:val="21"/>
                <w:highlight w:val="none"/>
              </w:rPr>
            </w:pPr>
            <w:r>
              <w:rPr>
                <w:rFonts w:hint="eastAsia"/>
                <w:color w:val="auto"/>
                <w:sz w:val="21"/>
                <w:szCs w:val="21"/>
                <w:highlight w:val="none"/>
              </w:rPr>
              <w:t xml:space="preserve">4、支持上搅拌和下搅拌</w:t>
            </w:r>
            <w:r/>
          </w:p>
          <w:p>
            <w:pPr>
              <w:contextualSpacing/>
              <w:rPr>
                <w:color w:val="auto"/>
                <w:sz w:val="21"/>
                <w:szCs w:val="21"/>
                <w:highlight w:val="none"/>
              </w:rPr>
            </w:pPr>
            <w:r>
              <w:rPr>
                <w:rFonts w:hint="eastAsia"/>
                <w:color w:val="auto"/>
                <w:sz w:val="21"/>
                <w:szCs w:val="21"/>
                <w:highlight w:val="none"/>
              </w:rPr>
              <w:t xml:space="preserve">5、支持酸碱滴定、非水相酸碱滴定、氧化还原滴定、沉淀滴定和络合滴定等多种滴定方法 </w:t>
            </w:r>
            <w:r/>
          </w:p>
          <w:p>
            <w:pPr>
              <w:contextualSpacing/>
              <w:rPr>
                <w:color w:val="auto"/>
                <w:sz w:val="21"/>
                <w:szCs w:val="21"/>
                <w:highlight w:val="none"/>
              </w:rPr>
            </w:pPr>
            <w:r>
              <w:rPr>
                <w:rFonts w:hint="eastAsia"/>
                <w:color w:val="auto"/>
                <w:sz w:val="21"/>
                <w:szCs w:val="21"/>
                <w:highlight w:val="none"/>
              </w:rPr>
              <w:t xml:space="preserve">滴定分析重复性：≤0.2%</w:t>
            </w:r>
            <w:r/>
          </w:p>
          <w:p>
            <w:pPr>
              <w:contextualSpacing/>
              <w:rPr>
                <w:color w:val="auto"/>
                <w:sz w:val="21"/>
                <w:szCs w:val="21"/>
                <w:highlight w:val="none"/>
              </w:rPr>
            </w:pPr>
            <w:r>
              <w:rPr>
                <w:rFonts w:hint="eastAsia"/>
                <w:color w:val="auto"/>
                <w:sz w:val="21"/>
                <w:szCs w:val="21"/>
                <w:highlight w:val="none"/>
              </w:rPr>
              <w:t xml:space="preserve">滴定容量允许误差：</w:t>
            </w:r>
            <w:r/>
          </w:p>
          <w:p>
            <w:pPr>
              <w:contextualSpacing/>
              <w:rPr>
                <w:color w:val="auto"/>
                <w:sz w:val="21"/>
                <w:szCs w:val="21"/>
                <w:highlight w:val="none"/>
              </w:rPr>
            </w:pPr>
            <w:r>
              <w:rPr>
                <w:rFonts w:hint="eastAsia"/>
                <w:color w:val="auto"/>
                <w:sz w:val="21"/>
                <w:szCs w:val="21"/>
                <w:highlight w:val="none"/>
              </w:rPr>
              <w:t xml:space="preserve">10mL滴定管：±0.025mL</w:t>
            </w:r>
            <w:r/>
          </w:p>
          <w:p>
            <w:pPr>
              <w:contextualSpacing/>
              <w:rPr>
                <w:color w:val="auto"/>
                <w:sz w:val="21"/>
                <w:szCs w:val="21"/>
                <w:highlight w:val="none"/>
                <w:lang w:bidi="ar"/>
              </w:rPr>
            </w:pPr>
            <w:r>
              <w:rPr>
                <w:rFonts w:hint="eastAsia"/>
                <w:color w:val="auto"/>
                <w:sz w:val="21"/>
                <w:szCs w:val="21"/>
                <w:highlight w:val="none"/>
              </w:rPr>
              <w:t xml:space="preserve">20mL滴定管：±0.035mL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2</w:t>
            </w:r>
            <w:r>
              <w:rPr>
                <w:color w:val="auto"/>
                <w:highlight w:val="none"/>
              </w:rPr>
              <w:t xml:space="preserve">0</w:t>
            </w:r>
            <w:r/>
          </w:p>
        </w:tc>
        <w:tc>
          <w:tcPr>
            <w:tcW w:w="1701" w:type="dxa"/>
            <w:vAlign w:val="center"/>
            <w:textDirection w:val="lrTb"/>
            <w:noWrap w:val="false"/>
          </w:tcPr>
          <w:p>
            <w:pPr>
              <w:widowControl/>
              <w:rPr>
                <w:color w:val="auto"/>
                <w:highlight w:val="none"/>
                <w:lang w:bidi="ar"/>
              </w:rPr>
            </w:pPr>
            <w:r/>
            <w:bookmarkStart w:id="44" w:name="OLE_LINK52"/>
            <w:r/>
            <w:bookmarkStart w:id="45" w:name="OLE_LINK53"/>
            <w:r>
              <w:rPr>
                <w:rFonts w:hint="eastAsia"/>
                <w:color w:val="auto"/>
                <w:highlight w:val="none"/>
                <w:lang w:bidi="ar"/>
              </w:rPr>
              <w:t xml:space="preserve">pH计</w:t>
            </w:r>
            <w:bookmarkEnd w:id="44"/>
            <w:r/>
            <w:bookmarkEnd w:id="45"/>
            <w:r/>
            <w:r/>
          </w:p>
        </w:tc>
        <w:tc>
          <w:tcPr>
            <w:tcW w:w="7796" w:type="dxa"/>
            <w:vAlign w:val="center"/>
            <w:textDirection w:val="lrTb"/>
            <w:noWrap w:val="false"/>
          </w:tcPr>
          <w:p>
            <w:pPr>
              <w:pStyle w:val="1117"/>
              <w:contextualSpacing/>
              <w:spacing w:before="0" w:after="0" w:line="24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一、主要特点</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1、高清液晶屏，按键操作</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2、支持自动关机、断电保护和恢复出厂设置等功能</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w:t>
            </w:r>
            <w:r>
              <w:rPr>
                <w:rFonts w:hint="eastAsia" w:ascii="宋体" w:hAnsi="宋体" w:eastAsia="宋体"/>
                <w:color w:val="auto"/>
                <w:szCs w:val="21"/>
                <w:highlight w:val="none"/>
              </w:rPr>
              <w:t xml:space="preserve">≥</w:t>
            </w:r>
            <w:r>
              <w:rPr>
                <w:rFonts w:hint="eastAsia" w:ascii="宋体" w:hAnsi="宋体" w:eastAsia="宋体" w:cs="宋体"/>
                <w:color w:val="auto"/>
                <w:szCs w:val="21"/>
                <w:highlight w:val="none"/>
              </w:rPr>
              <w:t xml:space="preserve">IP54防护等级</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4、标配复合pH电极、电极支架、防尘罩和校准缓冲粉剂</w:t>
            </w:r>
            <w:r/>
          </w:p>
          <w:p>
            <w:pPr>
              <w:pStyle w:val="1117"/>
              <w:contextualSpacing/>
              <w:spacing w:before="0" w:after="0" w:line="24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二、自动识别</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1、具有读数稳定标志，智能提醒</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2、自动识别GB 1.68pH、4.00pH、6.86pH、9.18pH、12.46pH五种pH标准缓冲溶液，支持自定义pH缓冲溶液</w:t>
            </w:r>
            <w:r/>
          </w:p>
          <w:p>
            <w:pPr>
              <w:pStyle w:val="1118"/>
              <w:numPr>
                <w:ilvl w:val="0"/>
                <w:numId w:val="0"/>
              </w:numPr>
              <w:contextualSpacing/>
              <w:jc w:val="left"/>
              <w:rPr>
                <w:rFonts w:ascii="宋体" w:hAnsi="宋体" w:eastAsia="宋体" w:cs="宋体"/>
                <w:color w:val="auto"/>
                <w:szCs w:val="21"/>
                <w:highlight w:val="none"/>
              </w:rPr>
            </w:pPr>
            <w:r>
              <w:rPr>
                <w:rFonts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、支持1~2点pH电极标定</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4、支持手动温度补偿</w:t>
            </w:r>
            <w:r/>
          </w:p>
          <w:p>
            <w:pPr>
              <w:contextualSpacing/>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、pH级别：0.1级</w:t>
            </w:r>
            <w:r/>
          </w:p>
          <w:p>
            <w:pPr>
              <w:contextualSpacing/>
              <w:rPr>
                <w:color w:val="auto"/>
                <w:sz w:val="21"/>
                <w:szCs w:val="21"/>
                <w:highlight w:val="none"/>
              </w:rPr>
            </w:pPr>
            <w:r>
              <w:rPr>
                <w:rFonts w:hint="eastAsia"/>
                <w:color w:val="auto"/>
                <w:sz w:val="21"/>
                <w:szCs w:val="21"/>
                <w:highlight w:val="none"/>
              </w:rPr>
              <w:t xml:space="preserve">6、测量参数：pH，mV</w:t>
            </w:r>
            <w:r/>
          </w:p>
          <w:p>
            <w:pPr>
              <w:contextualSpacing/>
              <w:rPr>
                <w:color w:val="auto"/>
                <w:sz w:val="21"/>
                <w:szCs w:val="21"/>
                <w:highlight w:val="none"/>
                <w:lang w:bidi="ar"/>
              </w:rPr>
            </w:pPr>
            <w:r>
              <w:rPr>
                <w:rFonts w:hint="eastAsia"/>
                <w:color w:val="auto"/>
                <w:sz w:val="21"/>
                <w:szCs w:val="21"/>
                <w:highlight w:val="none"/>
              </w:rPr>
              <w:t xml:space="preserve">7、电源：电源适配器（输入：AC（100~240）V，输出：DC20V</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2</w:t>
            </w:r>
            <w:r>
              <w:rPr>
                <w:color w:val="auto"/>
                <w:highlight w:val="none"/>
              </w:rPr>
              <w:t xml:space="preserve">1</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COD分析仪</w:t>
            </w:r>
            <w:r/>
          </w:p>
        </w:tc>
        <w:tc>
          <w:tcPr>
            <w:tcW w:w="7796" w:type="dxa"/>
            <w:vAlign w:val="center"/>
            <w:textDirection w:val="lrTb"/>
            <w:noWrap w:val="false"/>
          </w:tcPr>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1、彩色液晶屏。</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2、采用420nm、620nm两个LED光源。</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3、内置测量方法：高浓度COD，低浓度COD。</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4、智能判别终点，支持支持自动读数，连续读数。</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5、设定稀释比，自动计算样品原始浓度。</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6、可选内置校准曲线或自定义校准曲线。</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7、高COD支持(1~5)点校准，</w:t>
            </w:r>
            <w:bookmarkStart w:id="46" w:name="OLE_LINK75"/>
            <w:r>
              <w:rPr>
                <w:rFonts w:hint="eastAsia" w:ascii="宋体" w:hAnsi="宋体" w:eastAsia="宋体" w:cs="宋体"/>
                <w:color w:val="auto"/>
                <w:szCs w:val="21"/>
                <w:highlight w:val="none"/>
                <w:lang w:val="zh-CN" w:bidi="zh-CN"/>
              </w:rPr>
              <w:t xml:space="preserve">低COD支持(2~5)点校准</w:t>
            </w:r>
            <w:bookmarkEnd w:id="46"/>
            <w:r>
              <w:rPr>
                <w:rFonts w:hint="eastAsia" w:ascii="宋体" w:hAnsi="宋体" w:eastAsia="宋体" w:cs="宋体"/>
                <w:color w:val="auto"/>
                <w:szCs w:val="21"/>
                <w:highlight w:val="none"/>
                <w:lang w:val="zh-CN" w:bidi="zh-CN"/>
              </w:rPr>
              <w:t xml:space="preserve">。</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8、支持某个标定点重新标定。</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9、符合GLP，支持数据存储(共2000组)、查阅、删除、传输和打印。</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10、内置热敏打印机，可自动打印，打印格式可选</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11、支持U盘数据导出。</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12、具有RS-232、USB接口，通过专用通信软件与PC连接，实现数据传输。</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13、支持断电保护和恢复出厂设置等功能。</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2</w:t>
            </w:r>
            <w:r>
              <w:rPr>
                <w:color w:val="auto"/>
                <w:highlight w:val="none"/>
              </w:rPr>
              <w:t xml:space="preserve">2</w:t>
            </w:r>
            <w:r/>
          </w:p>
        </w:tc>
        <w:tc>
          <w:tcPr>
            <w:tcW w:w="1701" w:type="dxa"/>
            <w:vAlign w:val="center"/>
            <w:textDirection w:val="lrTb"/>
            <w:noWrap w:val="false"/>
          </w:tcPr>
          <w:p>
            <w:pPr>
              <w:widowControl/>
              <w:rPr>
                <w:color w:val="auto"/>
                <w:highlight w:val="none"/>
                <w:lang w:bidi="ar"/>
              </w:rPr>
            </w:pPr>
            <w:r>
              <w:rPr>
                <w:rFonts w:hint="eastAsia"/>
                <w:color w:val="auto"/>
                <w:highlight w:val="none"/>
              </w:rPr>
              <w:t xml:space="preserve">总磷总氮氨氮分析仪</w:t>
            </w:r>
            <w:r/>
          </w:p>
        </w:tc>
        <w:tc>
          <w:tcPr>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1.支持 COD、氨氮、总磷、总氮、浊度、色度、悬浮物、重金属等50多种水质污染物的测定。</w:t>
            </w:r>
            <w:r/>
          </w:p>
          <w:p>
            <w:pPr>
              <w:contextualSpacing/>
              <w:rPr>
                <w:color w:val="auto"/>
                <w:sz w:val="21"/>
                <w:szCs w:val="21"/>
                <w:highlight w:val="none"/>
              </w:rPr>
            </w:pPr>
            <w:r>
              <w:rPr>
                <w:rFonts w:hint="eastAsia"/>
                <w:color w:val="auto"/>
                <w:sz w:val="21"/>
                <w:szCs w:val="21"/>
                <w:highlight w:val="none"/>
              </w:rPr>
              <w:t xml:space="preserve">2.支持 16mm 比色管、24mm 比色瓶、10mm 比色皿、30mm 比色皿、50mm 比色皿等多种类型比色操作检测。</w:t>
            </w:r>
            <w:r/>
          </w:p>
          <w:p>
            <w:pPr>
              <w:contextualSpacing/>
              <w:rPr>
                <w:color w:val="auto"/>
                <w:sz w:val="21"/>
                <w:szCs w:val="21"/>
                <w:highlight w:val="none"/>
              </w:rPr>
            </w:pPr>
            <w:r>
              <w:rPr>
                <w:rFonts w:hint="eastAsia"/>
                <w:color w:val="auto"/>
                <w:sz w:val="21"/>
                <w:szCs w:val="21"/>
                <w:highlight w:val="none"/>
              </w:rPr>
              <w:t xml:space="preserve">3.仪器全塑机壳ABS材质，流线型设计，抗氧化、耐酸碱，核心部件密封防水。</w:t>
            </w:r>
            <w:r/>
          </w:p>
          <w:p>
            <w:pPr>
              <w:contextualSpacing/>
              <w:rPr>
                <w:color w:val="auto"/>
                <w:sz w:val="21"/>
                <w:szCs w:val="21"/>
                <w:highlight w:val="none"/>
              </w:rPr>
            </w:pPr>
            <w:r>
              <w:rPr>
                <w:rFonts w:hint="eastAsia"/>
                <w:color w:val="auto"/>
                <w:sz w:val="21"/>
                <w:szCs w:val="21"/>
                <w:highlight w:val="none"/>
              </w:rPr>
              <w:t xml:space="preserve">4.每秒可进行十几次数据均化计算，配合滤波算法滤除干扰，提高检测数据准确性。</w:t>
            </w:r>
            <w:r/>
          </w:p>
          <w:p>
            <w:pPr>
              <w:contextualSpacing/>
              <w:rPr>
                <w:color w:val="auto"/>
                <w:sz w:val="21"/>
                <w:szCs w:val="21"/>
                <w:highlight w:val="none"/>
              </w:rPr>
            </w:pPr>
            <w:r>
              <w:rPr>
                <w:rFonts w:hint="eastAsia"/>
                <w:color w:val="auto"/>
                <w:sz w:val="21"/>
                <w:szCs w:val="21"/>
                <w:highlight w:val="none"/>
              </w:rPr>
              <w:t xml:space="preserve">5.采用双向全平面光路系统比色技术。</w:t>
            </w:r>
            <w:r/>
          </w:p>
          <w:p>
            <w:pPr>
              <w:contextualSpacing/>
              <w:rPr>
                <w:color w:val="auto"/>
                <w:sz w:val="21"/>
                <w:szCs w:val="21"/>
                <w:highlight w:val="none"/>
              </w:rPr>
            </w:pPr>
            <w:r>
              <w:rPr>
                <w:rFonts w:hint="eastAsia"/>
                <w:color w:val="auto"/>
                <w:sz w:val="21"/>
                <w:szCs w:val="21"/>
                <w:highlight w:val="none"/>
              </w:rPr>
              <w:t xml:space="preserve">6.采用全触摸彩屏，屏幕清晰，界面人性化，操作简单，读数直观。</w:t>
            </w:r>
            <w:r/>
          </w:p>
          <w:p>
            <w:pPr>
              <w:contextualSpacing/>
              <w:rPr>
                <w:color w:val="auto"/>
                <w:sz w:val="21"/>
                <w:szCs w:val="21"/>
                <w:highlight w:val="none"/>
              </w:rPr>
            </w:pPr>
            <w:r>
              <w:rPr>
                <w:rFonts w:hint="eastAsia"/>
                <w:color w:val="auto"/>
                <w:sz w:val="21"/>
                <w:szCs w:val="21"/>
                <w:highlight w:val="none"/>
              </w:rPr>
              <w:t xml:space="preserve">7.采用多路高亮度 LED 冷光源。</w:t>
            </w:r>
            <w:r/>
          </w:p>
          <w:p>
            <w:pPr>
              <w:contextualSpacing/>
              <w:rPr>
                <w:strike/>
                <w:color w:val="auto"/>
                <w:sz w:val="21"/>
                <w:szCs w:val="21"/>
                <w:highlight w:val="none"/>
              </w:rPr>
            </w:pPr>
            <w:r>
              <w:rPr>
                <w:rFonts w:hint="eastAsia"/>
                <w:color w:val="auto"/>
                <w:sz w:val="21"/>
                <w:szCs w:val="21"/>
                <w:highlight w:val="none"/>
              </w:rPr>
              <w:t xml:space="preserve">8.处理器性能：</w:t>
            </w:r>
            <w:bookmarkStart w:id="47" w:name="OLE_LINK35"/>
            <w:r/>
            <w:bookmarkStart w:id="48" w:name="OLE_LINK36"/>
            <w:r>
              <w:rPr>
                <w:rFonts w:hint="eastAsia"/>
                <w:color w:val="auto"/>
                <w:sz w:val="21"/>
                <w:szCs w:val="21"/>
                <w:highlight w:val="none"/>
              </w:rPr>
              <w:t xml:space="preserve">≥</w:t>
            </w:r>
            <w:bookmarkEnd w:id="47"/>
            <w:r/>
            <w:bookmarkEnd w:id="48"/>
            <w:r>
              <w:rPr>
                <w:rFonts w:hint="eastAsia"/>
                <w:color w:val="auto"/>
                <w:sz w:val="21"/>
                <w:szCs w:val="21"/>
                <w:highlight w:val="none"/>
              </w:rPr>
              <w:t xml:space="preserve">ARM9处理器</w:t>
            </w:r>
            <w:r/>
          </w:p>
          <w:p>
            <w:pPr>
              <w:contextualSpacing/>
              <w:rPr>
                <w:color w:val="auto"/>
                <w:sz w:val="21"/>
                <w:szCs w:val="21"/>
                <w:highlight w:val="none"/>
              </w:rPr>
            </w:pPr>
            <w:r>
              <w:rPr>
                <w:rFonts w:hint="eastAsia"/>
                <w:color w:val="auto"/>
                <w:sz w:val="21"/>
                <w:szCs w:val="21"/>
                <w:highlight w:val="none"/>
              </w:rPr>
              <w:t xml:space="preserve">9.检测数据自动打印、实时存储，随时调取，且可存入电脑永久保存，读取无需驱动软件。</w:t>
            </w:r>
            <w:r/>
          </w:p>
          <w:p>
            <w:pPr>
              <w:contextualSpacing/>
              <w:rPr>
                <w:color w:val="auto"/>
                <w:sz w:val="21"/>
                <w:szCs w:val="21"/>
                <w:highlight w:val="none"/>
              </w:rPr>
            </w:pPr>
            <w:r>
              <w:rPr>
                <w:rFonts w:hint="eastAsia"/>
                <w:color w:val="auto"/>
                <w:sz w:val="21"/>
                <w:szCs w:val="21"/>
                <w:highlight w:val="none"/>
              </w:rPr>
              <w:t xml:space="preserve">10.支持DTU物联网功能（检测数据实时上传云端电脑，手机随时查看，数据永久保存）。</w:t>
            </w:r>
            <w:r/>
          </w:p>
          <w:p>
            <w:pPr>
              <w:contextualSpacing/>
              <w:rPr>
                <w:color w:val="auto"/>
                <w:sz w:val="21"/>
                <w:szCs w:val="21"/>
                <w:highlight w:val="none"/>
              </w:rPr>
            </w:pPr>
            <w:r>
              <w:rPr>
                <w:rFonts w:hint="eastAsia"/>
                <w:color w:val="auto"/>
                <w:sz w:val="21"/>
                <w:szCs w:val="21"/>
                <w:highlight w:val="none"/>
              </w:rPr>
              <w:t xml:space="preserve">11.大容量内存，可测量多个检测项目和储存多组检测数据，存储数量为 40000 条。</w:t>
            </w:r>
            <w:r/>
          </w:p>
          <w:p>
            <w:pPr>
              <w:contextualSpacing/>
              <w:rPr>
                <w:color w:val="auto"/>
                <w:sz w:val="21"/>
                <w:szCs w:val="21"/>
                <w:highlight w:val="none"/>
              </w:rPr>
            </w:pPr>
            <w:r>
              <w:rPr>
                <w:rFonts w:hint="eastAsia"/>
                <w:color w:val="auto"/>
                <w:sz w:val="21"/>
                <w:szCs w:val="21"/>
                <w:highlight w:val="none"/>
              </w:rPr>
              <w:t xml:space="preserve">12.配置 NFC 曲线识别系统，可通过扫描试剂盒表面 NFC 识别码快速调配测试曲线。</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2</w:t>
            </w:r>
            <w:r>
              <w:rPr>
                <w:color w:val="auto"/>
                <w:highlight w:val="none"/>
              </w:rPr>
              <w:t xml:space="preserve">3</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多参数分析仪</w:t>
            </w:r>
            <w:r/>
          </w:p>
        </w:tc>
        <w:tc>
          <w:tcPr>
            <w:tcW w:w="7796" w:type="dxa"/>
            <w:vAlign w:val="center"/>
            <w:textDirection w:val="lrTb"/>
            <w:noWrap w:val="false"/>
          </w:tcPr>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1、高清液晶屏，按键操作</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2、支持中英文</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3、温度单位可选：℃和 °F</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4、支持开机自诊断、自动关机、断电保护和恢复出厂设置等功能</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5、支持固件升级功能</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6、</w:t>
            </w:r>
            <w:r>
              <w:rPr>
                <w:rFonts w:hint="eastAsia"/>
                <w:color w:val="auto"/>
                <w:szCs w:val="21"/>
                <w:highlight w:val="none"/>
              </w:rPr>
              <w:t xml:space="preserve">≥</w:t>
            </w:r>
            <w:r>
              <w:rPr>
                <w:rFonts w:hint="eastAsia" w:ascii="宋体" w:hAnsi="宋体" w:eastAsia="宋体" w:cs="宋体"/>
                <w:color w:val="auto"/>
                <w:szCs w:val="21"/>
                <w:highlight w:val="none"/>
                <w:lang w:val="zh-CN" w:bidi="zh-CN"/>
              </w:rPr>
              <w:t xml:space="preserve">持IP54防护等级</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7、标配三复合pH电极、复合电导电极、极谱法溶解氧电极、电极支架、防尘罩和校准溶液。</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8、智能判别终点：支持连续读数，平衡读数，定时读数。</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9、支持自动温度补偿，自动标定，电极诊断。</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10、支持数据存储（各500套）、查阅、删除、传输和打印。</w:t>
            </w:r>
            <w:r/>
          </w:p>
          <w:p>
            <w:pPr>
              <w:pStyle w:val="1118"/>
              <w:numPr>
                <w:ilvl w:val="0"/>
                <w:numId w:val="0"/>
              </w:numPr>
              <w:contextualSpacing/>
              <w:jc w:val="left"/>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11、具有 USB 接口，通过专用通信软件与PC连接，实现数据传输。</w:t>
            </w:r>
            <w:r/>
          </w:p>
          <w:p>
            <w:pPr>
              <w:pStyle w:val="1119"/>
              <w:contextualSpacing/>
              <w:jc w:val="left"/>
              <w:spacing w:before="0" w:after="0"/>
              <w:rPr>
                <w:rFonts w:ascii="宋体" w:hAnsi="宋体" w:eastAsia="宋体" w:cs="宋体"/>
                <w:color w:val="auto"/>
                <w:szCs w:val="21"/>
                <w:highlight w:val="none"/>
                <w:lang w:val="zh-CN" w:bidi="zh-CN"/>
              </w:rPr>
            </w:pPr>
            <w:r>
              <w:rPr>
                <w:rFonts w:ascii="宋体" w:hAnsi="宋体" w:eastAsia="宋体" w:cs="宋体"/>
                <w:color w:val="auto"/>
                <w:szCs w:val="21"/>
                <w:highlight w:val="none"/>
                <w:lang w:val="zh-CN" w:bidi="zh-CN"/>
              </w:rPr>
              <w:t xml:space="preserve">12</w:t>
            </w:r>
            <w:r>
              <w:rPr>
                <w:rFonts w:hint="eastAsia" w:ascii="宋体" w:hAnsi="宋体" w:eastAsia="宋体" w:cs="宋体"/>
                <w:color w:val="auto"/>
                <w:szCs w:val="21"/>
                <w:highlight w:val="none"/>
                <w:lang w:val="zh-CN" w:bidi="zh-CN"/>
              </w:rPr>
              <w:t xml:space="preserve">、仪器级别：pH/pX：0.01级，电导率：1.0级</w:t>
            </w:r>
            <w:r/>
          </w:p>
          <w:p>
            <w:pPr>
              <w:pStyle w:val="1119"/>
              <w:contextualSpacing/>
              <w:jc w:val="left"/>
              <w:spacing w:before="0" w:after="0"/>
              <w:rPr>
                <w:rFonts w:ascii="宋体" w:hAnsi="宋体" w:eastAsia="宋体" w:cs="宋体"/>
                <w:color w:val="auto"/>
                <w:szCs w:val="21"/>
                <w:highlight w:val="none"/>
                <w:lang w:val="zh-CN" w:bidi="zh-CN"/>
              </w:rPr>
            </w:pPr>
            <w:r>
              <w:rPr>
                <w:rFonts w:ascii="宋体" w:hAnsi="宋体" w:eastAsia="宋体" w:cs="宋体"/>
                <w:color w:val="auto"/>
                <w:szCs w:val="21"/>
                <w:highlight w:val="none"/>
                <w:lang w:val="zh-CN" w:bidi="zh-CN"/>
              </w:rPr>
              <w:t xml:space="preserve">13</w:t>
            </w:r>
            <w:r>
              <w:rPr>
                <w:rFonts w:hint="eastAsia" w:ascii="宋体" w:hAnsi="宋体" w:eastAsia="宋体" w:cs="宋体"/>
                <w:color w:val="auto"/>
                <w:szCs w:val="21"/>
                <w:highlight w:val="none"/>
                <w:lang w:val="zh-CN" w:bidi="zh-CN"/>
              </w:rPr>
              <w:t xml:space="preserve">、测量参数：pH/ pX，离子浓度，mV，电导率、电阻率、TDS、盐度、溶解氧，溶解氧饱和度，温度。</w:t>
            </w:r>
            <w:r/>
          </w:p>
          <w:p>
            <w:pPr>
              <w:pStyle w:val="1119"/>
              <w:contextualSpacing/>
              <w:jc w:val="left"/>
              <w:spacing w:before="0" w:after="0"/>
              <w:rPr>
                <w:rFonts w:ascii="宋体" w:hAnsi="宋体" w:eastAsia="宋体" w:cs="宋体"/>
                <w:color w:val="auto"/>
                <w:szCs w:val="21"/>
                <w:highlight w:val="none"/>
                <w:lang w:val="zh-CN" w:bidi="zh-CN"/>
              </w:rPr>
            </w:pPr>
            <w:r>
              <w:rPr>
                <w:rFonts w:ascii="宋体" w:hAnsi="宋体" w:eastAsia="宋体" w:cs="宋体"/>
                <w:color w:val="auto"/>
                <w:szCs w:val="21"/>
                <w:highlight w:val="none"/>
                <w:lang w:val="zh-CN" w:bidi="zh-CN"/>
              </w:rPr>
              <w:t xml:space="preserve">14</w:t>
            </w:r>
            <w:r>
              <w:rPr>
                <w:rFonts w:hint="eastAsia" w:ascii="宋体" w:hAnsi="宋体" w:eastAsia="宋体" w:cs="宋体"/>
                <w:color w:val="auto"/>
                <w:szCs w:val="21"/>
                <w:highlight w:val="none"/>
                <w:lang w:val="zh-CN" w:bidi="zh-CN"/>
              </w:rPr>
              <w:t xml:space="preserve">、离子浓度：</w:t>
            </w:r>
            <w:r/>
          </w:p>
          <w:p>
            <w:pPr>
              <w:pStyle w:val="1119"/>
              <w:contextualSpacing/>
              <w:jc w:val="left"/>
              <w:spacing w:before="0" w:after="0"/>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范围：（ 1.000e-9～9.999e+9）可选单位：mol/L，mmol/L，g/L，mg/L，μg/L，ppm，ppb</w:t>
            </w:r>
            <w:r/>
          </w:p>
          <w:p>
            <w:pPr>
              <w:pStyle w:val="1119"/>
              <w:contextualSpacing/>
              <w:jc w:val="left"/>
              <w:spacing w:before="0" w:after="0"/>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最小分辨率：4位有效数字</w:t>
            </w:r>
            <w:r/>
          </w:p>
          <w:p>
            <w:pPr>
              <w:pStyle w:val="1119"/>
              <w:contextualSpacing/>
              <w:jc w:val="left"/>
              <w:spacing w:before="0" w:after="0"/>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电子单元示值误差：±0.5%</w:t>
            </w:r>
            <w:r/>
          </w:p>
          <w:p>
            <w:pPr>
              <w:pStyle w:val="1119"/>
              <w:contextualSpacing/>
              <w:jc w:val="left"/>
              <w:spacing w:before="0" w:after="0"/>
              <w:rPr>
                <w:rFonts w:ascii="宋体" w:hAnsi="宋体" w:eastAsia="宋体" w:cs="宋体"/>
                <w:color w:val="auto"/>
                <w:szCs w:val="21"/>
                <w:highlight w:val="none"/>
                <w:lang w:val="zh-CN" w:bidi="zh-CN"/>
              </w:rPr>
            </w:pPr>
            <w:r>
              <w:rPr>
                <w:rFonts w:ascii="宋体" w:hAnsi="宋体" w:eastAsia="宋体" w:cs="宋体"/>
                <w:color w:val="auto"/>
                <w:szCs w:val="21"/>
                <w:highlight w:val="none"/>
                <w:lang w:val="zh-CN" w:bidi="zh-CN"/>
              </w:rPr>
              <w:t xml:space="preserve">15</w:t>
            </w:r>
            <w:r>
              <w:rPr>
                <w:rFonts w:hint="eastAsia" w:ascii="宋体" w:hAnsi="宋体" w:eastAsia="宋体" w:cs="宋体"/>
                <w:color w:val="auto"/>
                <w:szCs w:val="21"/>
                <w:highlight w:val="none"/>
                <w:lang w:val="zh-CN" w:bidi="zh-CN"/>
              </w:rPr>
              <w:t xml:space="preserve">、电阻率：</w:t>
            </w:r>
            <w:r/>
          </w:p>
          <w:p>
            <w:pPr>
              <w:pStyle w:val="1119"/>
              <w:contextualSpacing/>
              <w:jc w:val="left"/>
              <w:spacing w:before="0" w:after="0"/>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范围：5.00Ω·cm～20.00MΩ·cm</w:t>
            </w:r>
            <w:r/>
          </w:p>
          <w:p>
            <w:pPr>
              <w:pStyle w:val="1119"/>
              <w:contextualSpacing/>
              <w:jc w:val="left"/>
              <w:spacing w:before="0" w:after="0"/>
              <w:rPr>
                <w:rFonts w:ascii="宋体" w:hAnsi="宋体" w:eastAsia="宋体" w:cs="宋体"/>
                <w:color w:val="auto"/>
                <w:szCs w:val="21"/>
                <w:highlight w:val="none"/>
                <w:lang w:val="zh-CN" w:bidi="zh-CN"/>
              </w:rPr>
            </w:pPr>
            <w:r>
              <w:rPr>
                <w:rFonts w:hint="eastAsia" w:ascii="宋体" w:hAnsi="宋体" w:eastAsia="宋体" w:cs="宋体"/>
                <w:color w:val="auto"/>
                <w:szCs w:val="21"/>
                <w:highlight w:val="none"/>
                <w:lang w:val="zh-CN" w:bidi="zh-CN"/>
              </w:rPr>
              <w:t xml:space="preserve">最小分辨率：0.01Ω·cm 根据量程自动切换。</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2</w:t>
            </w:r>
            <w:r>
              <w:rPr>
                <w:color w:val="auto"/>
                <w:highlight w:val="none"/>
              </w:rPr>
              <w:t xml:space="preserve">4</w:t>
            </w:r>
            <w:r/>
          </w:p>
        </w:tc>
        <w:tc>
          <w:tcPr>
            <w:tcW w:w="1701" w:type="dxa"/>
            <w:vAlign w:val="center"/>
            <w:textDirection w:val="lrTb"/>
            <w:noWrap w:val="false"/>
          </w:tcPr>
          <w:p>
            <w:pPr>
              <w:widowControl/>
              <w:rPr>
                <w:color w:val="auto"/>
                <w:sz w:val="21"/>
                <w:szCs w:val="21"/>
                <w:highlight w:val="none"/>
              </w:rPr>
            </w:pPr>
            <w:r/>
            <w:bookmarkStart w:id="49" w:name="OLE_LINK54"/>
            <w:r/>
            <w:bookmarkStart w:id="50" w:name="OLE_LINK55"/>
            <w:r>
              <w:rPr>
                <w:rFonts w:hint="eastAsia"/>
                <w:color w:val="auto"/>
                <w:sz w:val="21"/>
                <w:szCs w:val="21"/>
                <w:highlight w:val="none"/>
              </w:rPr>
              <w:t xml:space="preserve">六连搅拌器</w:t>
            </w:r>
            <w:bookmarkEnd w:id="49"/>
            <w:r/>
            <w:bookmarkEnd w:id="50"/>
            <w:r/>
            <w:r/>
          </w:p>
        </w:tc>
        <w:tc>
          <w:tcPr>
            <w:tcW w:w="7796" w:type="dxa"/>
            <w:vAlign w:val="center"/>
            <w:textDirection w:val="lrTb"/>
            <w:noWrap w:val="false"/>
          </w:tcPr>
          <w:p>
            <w:pPr>
              <w:pStyle w:val="880"/>
              <w:rPr>
                <w:color w:val="auto"/>
                <w:sz w:val="21"/>
                <w:szCs w:val="21"/>
                <w:highlight w:val="none"/>
              </w:rPr>
            </w:pPr>
            <w:r>
              <w:rPr>
                <w:color w:val="auto"/>
                <w:sz w:val="21"/>
                <w:szCs w:val="21"/>
                <w:highlight w:val="none"/>
              </w:rPr>
              <w:t xml:space="preserve">异步</w:t>
            </w:r>
            <w:r>
              <w:rPr>
                <w:rFonts w:hint="eastAsia"/>
                <w:color w:val="auto"/>
                <w:sz w:val="21"/>
                <w:szCs w:val="21"/>
                <w:highlight w:val="none"/>
              </w:rPr>
              <w:t xml:space="preserve">，</w:t>
            </w:r>
            <w:r>
              <w:rPr>
                <w:color w:val="auto"/>
                <w:sz w:val="21"/>
                <w:szCs w:val="21"/>
                <w:highlight w:val="none"/>
              </w:rPr>
              <w:t xml:space="preserve">采用抗腐蚀不锈钢搅拌棒，支持无级调速且转速数字显示，搅拌功率6×100W，调速范围起动-3000转/分，定时范围0-999，工作电源为AC220V 50Hz。</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2</w:t>
            </w:r>
            <w:r>
              <w:rPr>
                <w:color w:val="auto"/>
                <w:highlight w:val="none"/>
              </w:rPr>
              <w:t xml:space="preserve">5</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恒温摇床</w:t>
            </w:r>
            <w:r/>
          </w:p>
        </w:tc>
        <w:tc>
          <w:tcPr>
            <w:tcW w:w="7796" w:type="dxa"/>
            <w:vAlign w:val="center"/>
            <w:textDirection w:val="lrTb"/>
            <w:noWrap w:val="false"/>
          </w:tcPr>
          <w:p>
            <w:pPr>
              <w:pStyle w:val="939"/>
              <w:contextualSpacing/>
              <w:ind w:left="0" w:firstLine="0"/>
              <w:rPr>
                <w:color w:val="auto"/>
                <w:sz w:val="21"/>
                <w:szCs w:val="21"/>
                <w:highlight w:val="none"/>
              </w:rPr>
            </w:pPr>
            <w:r>
              <w:rPr>
                <w:rFonts w:hint="eastAsia"/>
                <w:color w:val="auto"/>
                <w:sz w:val="21"/>
                <w:szCs w:val="21"/>
                <w:highlight w:val="none"/>
              </w:rPr>
              <w:t xml:space="preserve">1、气浴恒温振荡器，振荡方式 往复/回旋双模式（一键切换）；</w:t>
            </w:r>
            <w:r/>
          </w:p>
          <w:p>
            <w:pPr>
              <w:pStyle w:val="939"/>
              <w:contextualSpacing/>
              <w:ind w:left="0" w:firstLine="0"/>
              <w:rPr>
                <w:color w:val="auto"/>
                <w:sz w:val="21"/>
                <w:szCs w:val="21"/>
                <w:highlight w:val="none"/>
              </w:rPr>
            </w:pPr>
            <w:r>
              <w:rPr>
                <w:rFonts w:hint="eastAsia"/>
                <w:color w:val="auto"/>
                <w:sz w:val="21"/>
                <w:szCs w:val="21"/>
                <w:highlight w:val="none"/>
              </w:rPr>
              <w:t xml:space="preserve">2、控温范围室温+ 5℃~60℃，控温精度 ≤±0.5℃（PID 智能控温），温度均匀度 ≤±1℃；</w:t>
            </w:r>
            <w:r/>
          </w:p>
          <w:p>
            <w:pPr>
              <w:pStyle w:val="939"/>
              <w:contextualSpacing/>
              <w:ind w:left="0" w:firstLine="0"/>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、转速范围 0~300r/min（无级调速），转速精度 ±1r/min；</w:t>
            </w:r>
            <w:r/>
          </w:p>
          <w:p>
            <w:pPr>
              <w:pStyle w:val="939"/>
              <w:contextualSpacing/>
              <w:ind w:left="0" w:firstLine="0"/>
              <w:rPr>
                <w:color w:val="auto"/>
                <w:sz w:val="21"/>
                <w:szCs w:val="21"/>
                <w:highlight w:val="none"/>
              </w:rPr>
            </w:pPr>
            <w:r>
              <w:rPr>
                <w:rFonts w:hint="eastAsia"/>
                <w:color w:val="auto"/>
                <w:sz w:val="21"/>
                <w:szCs w:val="21"/>
                <w:highlight w:val="none"/>
              </w:rPr>
              <w:t xml:space="preserve">4、振幅20mm</w:t>
            </w:r>
            <w:r/>
          </w:p>
          <w:p>
            <w:pPr>
              <w:pStyle w:val="939"/>
              <w:contextualSpacing/>
              <w:ind w:left="0" w:firstLine="0"/>
              <w:rPr>
                <w:color w:val="auto"/>
                <w:sz w:val="21"/>
                <w:szCs w:val="21"/>
                <w:highlight w:val="none"/>
              </w:rPr>
            </w:pPr>
            <w:r>
              <w:rPr>
                <w:rFonts w:hint="eastAsia"/>
                <w:color w:val="auto"/>
                <w:sz w:val="21"/>
                <w:szCs w:val="21"/>
                <w:highlight w:val="none"/>
              </w:rPr>
              <w:t xml:space="preserve">5、定时范围  0~999min（支持常开模式）；</w:t>
            </w:r>
            <w:r/>
          </w:p>
          <w:p>
            <w:pPr>
              <w:pStyle w:val="939"/>
              <w:contextualSpacing/>
              <w:ind w:left="0" w:firstLine="0"/>
              <w:rPr>
                <w:color w:val="auto"/>
                <w:sz w:val="21"/>
                <w:szCs w:val="21"/>
                <w:highlight w:val="none"/>
              </w:rPr>
            </w:pPr>
            <w:r>
              <w:rPr>
                <w:rFonts w:hint="eastAsia"/>
                <w:color w:val="auto"/>
                <w:sz w:val="21"/>
                <w:szCs w:val="21"/>
                <w:highlight w:val="none"/>
              </w:rPr>
              <w:t xml:space="preserve">6、加热功率300W，整机功率550W</w:t>
            </w:r>
            <w:r/>
          </w:p>
          <w:p>
            <w:pPr>
              <w:pStyle w:val="939"/>
              <w:contextualSpacing/>
              <w:ind w:left="0" w:firstLine="0"/>
              <w:rPr>
                <w:color w:val="auto"/>
                <w:sz w:val="21"/>
                <w:szCs w:val="21"/>
                <w:highlight w:val="none"/>
              </w:rPr>
            </w:pPr>
            <w:r>
              <w:rPr>
                <w:rFonts w:hint="eastAsia"/>
                <w:color w:val="auto"/>
                <w:sz w:val="21"/>
                <w:szCs w:val="21"/>
                <w:highlight w:val="none"/>
              </w:rPr>
              <w:t xml:space="preserve">7、内胆材质304不锈钢，外壳材质 冷轧钢板静电喷塑；</w:t>
            </w:r>
            <w:r/>
          </w:p>
          <w:p>
            <w:pPr>
              <w:pStyle w:val="939"/>
              <w:contextualSpacing/>
              <w:ind w:left="0" w:firstLine="0"/>
              <w:rPr>
                <w:color w:val="auto"/>
                <w:sz w:val="21"/>
                <w:szCs w:val="21"/>
                <w:highlight w:val="none"/>
              </w:rPr>
            </w:pPr>
            <w:r>
              <w:rPr>
                <w:rFonts w:hint="eastAsia"/>
                <w:color w:val="auto"/>
                <w:sz w:val="21"/>
                <w:szCs w:val="21"/>
                <w:highlight w:val="none"/>
              </w:rPr>
              <w:t xml:space="preserve">8、具备过温、过载、漏电、电机过热四重保护</w:t>
            </w:r>
            <w:r/>
          </w:p>
          <w:p>
            <w:pPr>
              <w:pStyle w:val="939"/>
              <w:contextualSpacing/>
              <w:ind w:left="0" w:firstLine="0"/>
              <w:rPr>
                <w:color w:val="auto"/>
                <w:sz w:val="21"/>
                <w:szCs w:val="21"/>
                <w:highlight w:val="none"/>
                <w:lang w:bidi="ar"/>
              </w:rPr>
            </w:pPr>
            <w:r>
              <w:rPr>
                <w:color w:val="auto"/>
                <w:sz w:val="21"/>
                <w:szCs w:val="21"/>
                <w:highlight w:val="none"/>
              </w:rPr>
              <w:t xml:space="preserve">9</w:t>
            </w:r>
            <w:r>
              <w:rPr>
                <w:rFonts w:hint="eastAsia"/>
                <w:color w:val="auto"/>
                <w:sz w:val="21"/>
                <w:szCs w:val="21"/>
                <w:highlight w:val="none"/>
              </w:rPr>
              <w:t xml:space="preserve">、附加功能 数显大屏、参数记忆、故障报警</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2</w:t>
            </w:r>
            <w:r>
              <w:rPr>
                <w:color w:val="auto"/>
                <w:highlight w:val="none"/>
              </w:rPr>
              <w:t xml:space="preserve">6</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浊度计</w:t>
            </w:r>
            <w:r/>
          </w:p>
        </w:tc>
        <w:tc>
          <w:tcPr>
            <w:tcW w:w="7796" w:type="dxa"/>
            <w:vAlign w:val="center"/>
            <w:textDirection w:val="lrTb"/>
            <w:noWrap w:val="false"/>
          </w:tcPr>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1、采用高清液晶屏</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2、红外LED光源，符合HJ 1075标准</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3、支持散射法</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4、自动切换量程</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5、支持零点校准</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6、支持浊度校准(单点或连续多点)</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color w:val="auto"/>
                <w:szCs w:val="21"/>
                <w:highlight w:val="none"/>
              </w:rPr>
              <w:t xml:space="preserve">≥</w:t>
            </w:r>
            <w:r>
              <w:rPr>
                <w:rFonts w:hint="eastAsia" w:ascii="宋体" w:hAnsi="宋体" w:eastAsia="宋体" w:cs="宋体"/>
                <w:color w:val="auto"/>
                <w:szCs w:val="21"/>
                <w:highlight w:val="none"/>
              </w:rPr>
              <w:t xml:space="preserve">IP65防护等级</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8、支持断电保护</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9、标配浊度瓶</w:t>
            </w:r>
            <w:r/>
          </w:p>
          <w:p>
            <w:pPr>
              <w:pStyle w:val="1118"/>
              <w:numPr>
                <w:ilvl w:val="0"/>
                <w:numId w:val="0"/>
              </w:numPr>
              <w:contextualSpacing/>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10、标配400NTU浊度校准液</w:t>
            </w:r>
            <w:r/>
          </w:p>
          <w:p>
            <w:pPr>
              <w:contextualSpacing/>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、分辨率：0.01/0.1/1 NTU</w:t>
            </w:r>
            <w:r>
              <w:rPr>
                <w:rFonts w:hint="eastAsia"/>
                <w:color w:val="auto"/>
                <w:sz w:val="21"/>
                <w:szCs w:val="21"/>
                <w:highlight w:val="none"/>
              </w:rPr>
              <w:br/>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、示值误差：±8%</w:t>
            </w:r>
            <w:r/>
          </w:p>
          <w:p>
            <w:pPr>
              <w:contextualSpacing/>
              <w:rPr>
                <w:color w:val="auto"/>
                <w:sz w:val="21"/>
                <w:szCs w:val="21"/>
                <w:highlight w:val="none"/>
                <w:lang w:bidi="ar"/>
              </w:rPr>
            </w:pPr>
            <w:r>
              <w:rPr>
                <w:rFonts w:hint="eastAsia"/>
                <w:color w:val="auto"/>
                <w:sz w:val="21"/>
                <w:szCs w:val="21"/>
                <w:highlight w:val="none"/>
              </w:rPr>
              <w:t xml:space="preserve">1</w:t>
            </w:r>
            <w:r>
              <w:rPr>
                <w:color w:val="auto"/>
                <w:sz w:val="21"/>
                <w:szCs w:val="21"/>
                <w:highlight w:val="none"/>
              </w:rPr>
              <w:t xml:space="preserve">3</w:t>
            </w:r>
            <w:r>
              <w:rPr>
                <w:rFonts w:hint="eastAsia"/>
                <w:color w:val="auto"/>
                <w:sz w:val="21"/>
                <w:szCs w:val="21"/>
                <w:highlight w:val="none"/>
              </w:rPr>
              <w:t xml:space="preserve">、稳定性：±0.5%FS/30min</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2</w:t>
            </w:r>
            <w:r>
              <w:rPr>
                <w:color w:val="auto"/>
                <w:highlight w:val="none"/>
              </w:rPr>
              <w:t xml:space="preserve">7</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颗粒自由沉降装置</w:t>
            </w:r>
            <w:r/>
          </w:p>
        </w:tc>
        <w:tc>
          <w:tcPr>
            <w:tcW w:w="7796" w:type="dxa"/>
            <w:vAlign w:val="center"/>
            <w:textDirection w:val="lrTb"/>
            <w:noWrap w:val="false"/>
          </w:tcPr>
          <w:p>
            <w:pPr>
              <w:pStyle w:val="939"/>
              <w:contextualSpacing/>
              <w:ind w:left="0" w:firstLine="0"/>
              <w:rPr>
                <w:color w:val="auto"/>
                <w:sz w:val="21"/>
                <w:szCs w:val="21"/>
                <w:highlight w:val="none"/>
                <w:lang w:bidi="ar"/>
              </w:rPr>
            </w:pPr>
            <w:r>
              <w:rPr>
                <w:color w:val="auto"/>
                <w:sz w:val="21"/>
                <w:szCs w:val="21"/>
                <w:highlight w:val="none"/>
                <w:lang w:bidi="ar"/>
              </w:rPr>
              <w:t xml:space="preserve">1</w:t>
            </w:r>
            <w:r>
              <w:rPr>
                <w:rFonts w:hint="eastAsia"/>
                <w:color w:val="auto"/>
                <w:sz w:val="21"/>
                <w:szCs w:val="21"/>
                <w:highlight w:val="none"/>
                <w:lang w:bidi="ar"/>
              </w:rPr>
              <w:t xml:space="preserve">、柱体：4根Φ100×2000mm，PMMA壁厚5mm，每柱5个铜质取样阀带刻度</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2、框架：304不锈钢，带脚轮与禁锢脚，可移动</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3、动力：370W水泵（1m³/h，15m扬程），PVC原水箱（550×450×500mm）</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4、电气：220V，含漏电保护，总功率370W</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2</w:t>
            </w:r>
            <w:r>
              <w:rPr>
                <w:color w:val="auto"/>
                <w:highlight w:val="none"/>
              </w:rPr>
              <w:t xml:space="preserve">8</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过滤反冲洗装置</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过滤反冲洗装置（4柱），处理水量:100-300L，反冲水流量:0.15~1.5m3/h</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29</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电热鼓风干燥箱</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电源电压：AC220V 50HZ  温度分辨率：0.1℃，长宽高1m*1m*1m</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3</w:t>
            </w:r>
            <w:r>
              <w:rPr>
                <w:color w:val="auto"/>
                <w:highlight w:val="none"/>
              </w:rPr>
              <w:t xml:space="preserve">0</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马弗炉</w:t>
            </w:r>
            <w:r/>
          </w:p>
        </w:tc>
        <w:tc>
          <w:tcPr>
            <w:tcW w:w="7796" w:type="dxa"/>
            <w:vAlign w:val="center"/>
            <w:textDirection w:val="lrTb"/>
            <w:noWrap w:val="false"/>
          </w:tcPr>
          <w:p>
            <w:pPr>
              <w:pStyle w:val="916"/>
              <w:contextualSpacing/>
              <w:spacing w:before="0" w:beforeAutospacing="0" w:after="0" w:afterAutospacing="0"/>
              <w:rPr>
                <w:color w:val="auto"/>
                <w:sz w:val="21"/>
                <w:szCs w:val="21"/>
                <w:highlight w:val="none"/>
                <w:shd w:val="clear" w:color="auto" w:fill="ffffff"/>
              </w:rPr>
            </w:pPr>
            <w:r>
              <w:rPr>
                <w:rFonts w:hint="eastAsia"/>
                <w:color w:val="auto"/>
                <w:sz w:val="21"/>
                <w:szCs w:val="21"/>
                <w:highlight w:val="none"/>
                <w:shd w:val="clear" w:color="auto" w:fill="ffffff"/>
              </w:rPr>
              <w:t xml:space="preserve">1、开门保护系统：该炉安装有行程开关，当炉盖打开时会自动切断电源，有效地保证使用者的安全。</w:t>
            </w:r>
            <w:r/>
          </w:p>
          <w:p>
            <w:pPr>
              <w:pStyle w:val="916"/>
              <w:contextualSpacing/>
              <w:spacing w:before="0" w:beforeAutospacing="0" w:after="0" w:afterAutospacing="0"/>
              <w:rPr>
                <w:color w:val="auto"/>
                <w:sz w:val="21"/>
                <w:szCs w:val="21"/>
                <w:highlight w:val="none"/>
                <w:shd w:val="clear" w:color="auto" w:fill="ffffff"/>
              </w:rPr>
            </w:pPr>
            <w:r>
              <w:rPr>
                <w:color w:val="auto"/>
                <w:sz w:val="21"/>
                <w:szCs w:val="21"/>
                <w:highlight w:val="none"/>
                <w:shd w:val="clear" w:color="auto" w:fill="ffffff"/>
              </w:rPr>
              <w:t xml:space="preserve">2</w:t>
            </w:r>
            <w:r>
              <w:rPr>
                <w:rFonts w:hint="eastAsia"/>
                <w:color w:val="auto"/>
                <w:sz w:val="21"/>
                <w:szCs w:val="21"/>
                <w:highlight w:val="none"/>
                <w:shd w:val="clear" w:color="auto" w:fill="ffffff"/>
              </w:rPr>
              <w:t xml:space="preserve">、炉膛材料： 采用氧化铝多晶体纤维炉膛材料，材料保温性能好、反射率高、温场均衡，抗热涨冷缩能力强。</w:t>
            </w:r>
            <w:r/>
          </w:p>
          <w:p>
            <w:pPr>
              <w:pStyle w:val="916"/>
              <w:contextualSpacing/>
              <w:spacing w:before="0" w:beforeAutospacing="0" w:after="0" w:afterAutospacing="0"/>
              <w:rPr>
                <w:color w:val="auto"/>
                <w:sz w:val="21"/>
                <w:szCs w:val="21"/>
                <w:highlight w:val="none"/>
                <w:shd w:val="clear" w:color="auto" w:fill="ffffff"/>
              </w:rPr>
            </w:pPr>
            <w:r>
              <w:rPr>
                <w:color w:val="auto"/>
                <w:sz w:val="21"/>
                <w:szCs w:val="21"/>
                <w:highlight w:val="none"/>
                <w:shd w:val="clear" w:color="auto" w:fill="ffffff"/>
              </w:rPr>
              <w:t xml:space="preserve">3</w:t>
            </w:r>
            <w:r>
              <w:rPr>
                <w:rFonts w:hint="eastAsia"/>
                <w:color w:val="auto"/>
                <w:sz w:val="21"/>
                <w:szCs w:val="21"/>
                <w:highlight w:val="none"/>
                <w:shd w:val="clear" w:color="auto" w:fill="ffffff"/>
              </w:rPr>
              <w:t xml:space="preserve">、加热元件：全部采用Dia12mm的加热棒，棒的表面负荷低，使用寿命长。</w:t>
            </w:r>
            <w:r/>
          </w:p>
          <w:p>
            <w:pPr>
              <w:pStyle w:val="916"/>
              <w:contextualSpacing/>
              <w:spacing w:before="0" w:beforeAutospacing="0" w:after="0" w:afterAutospacing="0"/>
              <w:rPr>
                <w:color w:val="auto"/>
                <w:sz w:val="21"/>
                <w:szCs w:val="21"/>
                <w:highlight w:val="none"/>
                <w:shd w:val="clear" w:color="auto" w:fill="ffffff"/>
              </w:rPr>
            </w:pPr>
            <w:r>
              <w:rPr>
                <w:color w:val="auto"/>
                <w:sz w:val="21"/>
                <w:szCs w:val="21"/>
                <w:highlight w:val="none"/>
                <w:shd w:val="clear" w:color="auto" w:fill="ffffff"/>
              </w:rPr>
              <w:t xml:space="preserve">4</w:t>
            </w:r>
            <w:r>
              <w:rPr>
                <w:rFonts w:hint="eastAsia"/>
                <w:color w:val="auto"/>
                <w:sz w:val="21"/>
                <w:szCs w:val="21"/>
                <w:highlight w:val="none"/>
                <w:shd w:val="clear" w:color="auto" w:fill="ffffff"/>
              </w:rPr>
              <w:t xml:space="preserve">、漏电保护功能： 安装漏电空气开关，当炉体漏电时自动断电，以确保使用的安全性。</w:t>
            </w:r>
            <w:r/>
          </w:p>
          <w:p>
            <w:pPr>
              <w:pStyle w:val="916"/>
              <w:contextualSpacing/>
              <w:spacing w:before="0" w:beforeAutospacing="0" w:after="0" w:afterAutospacing="0"/>
              <w:rPr>
                <w:color w:val="auto"/>
                <w:sz w:val="21"/>
                <w:szCs w:val="21"/>
                <w:highlight w:val="none"/>
                <w:shd w:val="clear" w:color="auto" w:fill="ffffff"/>
              </w:rPr>
            </w:pPr>
            <w:r>
              <w:rPr>
                <w:color w:val="auto"/>
                <w:sz w:val="21"/>
                <w:szCs w:val="21"/>
                <w:highlight w:val="none"/>
                <w:shd w:val="clear" w:color="auto" w:fill="ffffff"/>
              </w:rPr>
              <w:t xml:space="preserve">5</w:t>
            </w:r>
            <w:r>
              <w:rPr>
                <w:rFonts w:hint="eastAsia"/>
                <w:color w:val="auto"/>
                <w:sz w:val="21"/>
                <w:szCs w:val="21"/>
                <w:highlight w:val="none"/>
              </w:rPr>
              <w:t xml:space="preserve">、</w:t>
            </w:r>
            <w:r>
              <w:rPr>
                <w:rFonts w:hint="eastAsia"/>
                <w:color w:val="auto"/>
                <w:sz w:val="21"/>
                <w:szCs w:val="21"/>
                <w:highlight w:val="none"/>
                <w:shd w:val="clear" w:color="auto" w:fill="ffffff"/>
              </w:rPr>
              <w:t xml:space="preserve">程序控温仪表</w:t>
            </w:r>
            <w:r/>
          </w:p>
          <w:p>
            <w:pPr>
              <w:pStyle w:val="916"/>
              <w:contextualSpacing/>
              <w:spacing w:before="0" w:beforeAutospacing="0" w:after="0" w:afterAutospacing="0"/>
              <w:rPr>
                <w:color w:val="auto"/>
                <w:sz w:val="21"/>
                <w:szCs w:val="21"/>
                <w:highlight w:val="none"/>
                <w:shd w:val="clear" w:color="auto" w:fill="ffffff"/>
              </w:rPr>
            </w:pPr>
            <w:r>
              <w:rPr>
                <w:rFonts w:hint="eastAsia"/>
                <w:color w:val="auto"/>
                <w:sz w:val="21"/>
                <w:szCs w:val="21"/>
                <w:highlight w:val="none"/>
                <w:shd w:val="clear" w:color="auto" w:fill="ffffff"/>
              </w:rPr>
              <w:t xml:space="preserve">（1）</w:t>
            </w:r>
            <w:r>
              <w:rPr>
                <w:rFonts w:hint="eastAsia"/>
                <w:color w:val="auto"/>
                <w:sz w:val="21"/>
                <w:szCs w:val="21"/>
                <w:highlight w:val="none"/>
              </w:rPr>
              <w:t xml:space="preserve">控制方式：</w:t>
            </w:r>
            <w:r>
              <w:rPr>
                <w:rFonts w:hint="eastAsia"/>
                <w:color w:val="auto"/>
                <w:sz w:val="21"/>
                <w:szCs w:val="21"/>
                <w:highlight w:val="none"/>
                <w:shd w:val="clear" w:color="auto" w:fill="ffffff"/>
              </w:rPr>
              <w:t xml:space="preserve">50段程序控温，只能PID调节。</w:t>
            </w:r>
            <w:r/>
          </w:p>
          <w:p>
            <w:pPr>
              <w:pStyle w:val="916"/>
              <w:contextualSpacing/>
              <w:spacing w:before="0" w:beforeAutospacing="0" w:after="0" w:afterAutospacing="0"/>
              <w:rPr>
                <w:strike/>
                <w:color w:val="auto"/>
                <w:sz w:val="21"/>
                <w:szCs w:val="21"/>
                <w:highlight w:val="none"/>
                <w:shd w:val="clear" w:color="auto" w:fill="ffffff"/>
              </w:rPr>
            </w:pPr>
            <w:r>
              <w:rPr>
                <w:rFonts w:hint="eastAsia"/>
                <w:color w:val="auto"/>
                <w:sz w:val="21"/>
                <w:szCs w:val="21"/>
                <w:highlight w:val="none"/>
                <w:shd w:val="clear" w:color="auto" w:fill="ffffff"/>
              </w:rPr>
              <w:t xml:space="preserve">（2）具有过温保护 断偶保护过温或断偶时电炉加热电路自动切断</w:t>
            </w:r>
            <w:r>
              <w:rPr>
                <w:strike/>
                <w:color w:val="auto"/>
                <w:sz w:val="21"/>
                <w:szCs w:val="21"/>
                <w:highlight w:val="none"/>
                <w:shd w:val="clear" w:color="auto" w:fill="ffffff"/>
              </w:rPr>
              <w:t xml:space="preserve">;</w:t>
            </w:r>
            <w:r/>
          </w:p>
          <w:p>
            <w:pPr>
              <w:pStyle w:val="916"/>
              <w:contextualSpacing/>
              <w:spacing w:before="0" w:beforeAutospacing="0" w:after="0" w:afterAutospacing="0"/>
              <w:rPr>
                <w:color w:val="auto"/>
                <w:sz w:val="21"/>
                <w:szCs w:val="21"/>
                <w:highlight w:val="none"/>
                <w:shd w:val="clear" w:color="auto" w:fill="ffffff"/>
              </w:rPr>
            </w:pPr>
            <w:r>
              <w:rPr>
                <w:rFonts w:hint="eastAsia"/>
                <w:color w:val="auto"/>
                <w:sz w:val="21"/>
                <w:szCs w:val="21"/>
                <w:highlight w:val="none"/>
                <w:shd w:val="clear" w:color="auto" w:fill="ffffff"/>
              </w:rPr>
              <w:t xml:space="preserve">（3）具有断电保护功能，即断电后再给电启动炉子时、程序不是从起始温度开始升、而是从断电时炉温开始升。</w:t>
            </w:r>
            <w:r/>
          </w:p>
          <w:p>
            <w:pPr>
              <w:pStyle w:val="916"/>
              <w:contextualSpacing/>
              <w:spacing w:before="0" w:beforeAutospacing="0" w:after="0" w:afterAutospacing="0"/>
              <w:rPr>
                <w:color w:val="auto"/>
                <w:sz w:val="21"/>
                <w:szCs w:val="21"/>
                <w:highlight w:val="none"/>
                <w:shd w:val="clear" w:color="auto" w:fill="ffffff"/>
              </w:rPr>
            </w:pPr>
            <w:r>
              <w:rPr>
                <w:rFonts w:hint="eastAsia"/>
                <w:color w:val="auto"/>
                <w:sz w:val="21"/>
                <w:szCs w:val="21"/>
                <w:highlight w:val="none"/>
                <w:shd w:val="clear" w:color="auto" w:fill="ffffff"/>
              </w:rPr>
              <w:t xml:space="preserve">（4）仪表具有温度自整定的功能</w:t>
            </w:r>
            <w:r/>
          </w:p>
          <w:p>
            <w:pPr>
              <w:pStyle w:val="939"/>
              <w:contextualSpacing/>
              <w:ind w:left="0" w:firstLine="0"/>
              <w:rPr>
                <w:color w:val="auto"/>
                <w:sz w:val="21"/>
                <w:szCs w:val="21"/>
                <w:highlight w:val="none"/>
              </w:rPr>
            </w:pPr>
            <w:r>
              <w:rPr>
                <w:color w:val="auto"/>
                <w:sz w:val="21"/>
                <w:szCs w:val="21"/>
                <w:highlight w:val="none"/>
              </w:rPr>
              <w:t xml:space="preserve">6</w:t>
            </w:r>
            <w:r>
              <w:rPr>
                <w:rFonts w:hint="eastAsia"/>
                <w:color w:val="auto"/>
                <w:sz w:val="21"/>
                <w:szCs w:val="21"/>
                <w:highlight w:val="none"/>
              </w:rPr>
              <w:t xml:space="preserve">、功率:7KW</w:t>
            </w:r>
            <w:r/>
          </w:p>
          <w:p>
            <w:pPr>
              <w:pStyle w:val="939"/>
              <w:contextualSpacing/>
              <w:ind w:left="0" w:firstLine="0"/>
              <w:rPr>
                <w:color w:val="auto"/>
                <w:sz w:val="21"/>
                <w:szCs w:val="21"/>
                <w:highlight w:val="none"/>
              </w:rPr>
            </w:pPr>
            <w:r>
              <w:rPr>
                <w:color w:val="auto"/>
                <w:sz w:val="21"/>
                <w:szCs w:val="21"/>
                <w:highlight w:val="none"/>
              </w:rPr>
              <w:t xml:space="preserve">7</w:t>
            </w:r>
            <w:r>
              <w:rPr>
                <w:rFonts w:hint="eastAsia"/>
                <w:color w:val="auto"/>
                <w:sz w:val="21"/>
                <w:szCs w:val="21"/>
                <w:highlight w:val="none"/>
              </w:rPr>
              <w:t xml:space="preserve">、炉膛尺寸:300X200X200（DXWXH）</w:t>
            </w:r>
            <w:r/>
          </w:p>
          <w:p>
            <w:pPr>
              <w:pStyle w:val="939"/>
              <w:contextualSpacing/>
              <w:ind w:left="0" w:firstLine="0"/>
              <w:rPr>
                <w:color w:val="auto"/>
                <w:sz w:val="21"/>
                <w:szCs w:val="21"/>
                <w:highlight w:val="none"/>
              </w:rPr>
            </w:pPr>
            <w:r>
              <w:rPr>
                <w:rFonts w:hint="eastAsia"/>
                <w:color w:val="auto"/>
                <w:sz w:val="21"/>
                <w:szCs w:val="21"/>
                <w:highlight w:val="none"/>
              </w:rPr>
              <w:t xml:space="preserve">外形尺寸：560X630X900（mm）</w:t>
            </w:r>
            <w:r/>
          </w:p>
          <w:p>
            <w:pPr>
              <w:pStyle w:val="939"/>
              <w:contextualSpacing/>
              <w:ind w:left="0" w:firstLine="0"/>
              <w:rPr>
                <w:color w:val="auto"/>
                <w:sz w:val="21"/>
                <w:szCs w:val="21"/>
                <w:highlight w:val="none"/>
              </w:rPr>
            </w:pPr>
            <w:r>
              <w:rPr>
                <w:color w:val="auto"/>
                <w:sz w:val="21"/>
                <w:szCs w:val="21"/>
                <w:highlight w:val="none"/>
              </w:rPr>
              <w:t xml:space="preserve">8</w:t>
            </w:r>
            <w:r>
              <w:rPr>
                <w:rFonts w:hint="eastAsia"/>
                <w:color w:val="auto"/>
                <w:sz w:val="21"/>
                <w:szCs w:val="21"/>
                <w:highlight w:val="none"/>
              </w:rPr>
              <w:t xml:space="preserve">、加热元件：硅碳棒</w:t>
            </w:r>
            <w:r/>
          </w:p>
          <w:p>
            <w:pPr>
              <w:pStyle w:val="939"/>
              <w:contextualSpacing/>
              <w:ind w:left="0" w:firstLine="0"/>
              <w:rPr>
                <w:color w:val="auto"/>
                <w:sz w:val="21"/>
                <w:szCs w:val="21"/>
                <w:highlight w:val="none"/>
              </w:rPr>
            </w:pPr>
            <w:r>
              <w:rPr>
                <w:color w:val="auto"/>
                <w:sz w:val="21"/>
                <w:szCs w:val="21"/>
                <w:highlight w:val="none"/>
              </w:rPr>
              <w:t xml:space="preserve">9</w:t>
            </w:r>
            <w:r>
              <w:rPr>
                <w:rFonts w:hint="eastAsia"/>
                <w:color w:val="auto"/>
                <w:sz w:val="21"/>
                <w:szCs w:val="21"/>
                <w:highlight w:val="none"/>
              </w:rPr>
              <w:t xml:space="preserve">、最高温度：1400 ℃</w:t>
            </w:r>
            <w:r/>
          </w:p>
          <w:p>
            <w:pPr>
              <w:pStyle w:val="939"/>
              <w:contextualSpacing/>
              <w:ind w:left="0" w:firstLine="0"/>
              <w:rPr>
                <w:color w:val="auto"/>
                <w:sz w:val="21"/>
                <w:szCs w:val="21"/>
                <w:highlight w:val="none"/>
              </w:rPr>
            </w:pPr>
            <w:r>
              <w:rPr>
                <w:rFonts w:hint="eastAsia"/>
                <w:color w:val="auto"/>
                <w:sz w:val="21"/>
                <w:szCs w:val="21"/>
                <w:highlight w:val="none"/>
              </w:rPr>
              <w:t xml:space="preserve">额定温度：1300 ℃</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3</w:t>
            </w:r>
            <w:r>
              <w:rPr>
                <w:color w:val="auto"/>
                <w:highlight w:val="none"/>
              </w:rPr>
              <w:t xml:space="preserve">1</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环境空气综合采样器</w:t>
            </w:r>
            <w:r/>
          </w:p>
        </w:tc>
        <w:tc>
          <w:tcPr>
            <w:tcW w:w="7796" w:type="dxa"/>
            <w:vAlign w:val="center"/>
            <w:textDirection w:val="lrTb"/>
            <w:noWrap w:val="false"/>
          </w:tcPr>
          <w:p>
            <w:pPr>
              <w:ind w:left="425" w:hanging="425"/>
              <w:jc w:val="both"/>
              <w:rPr>
                <w:color w:val="auto"/>
                <w:sz w:val="21"/>
                <w:szCs w:val="21"/>
                <w:highlight w:val="none"/>
                <w:lang w:val="en-US"/>
              </w:rPr>
            </w:pPr>
            <w:r>
              <w:rPr>
                <w:rFonts w:hint="eastAsia"/>
                <w:color w:val="auto"/>
                <w:sz w:val="21"/>
                <w:szCs w:val="21"/>
                <w:highlight w:val="none"/>
                <w:lang w:val="en-US"/>
              </w:rPr>
              <w:t xml:space="preserve">▲</w:t>
            </w:r>
            <w:r>
              <w:rPr>
                <w:color w:val="auto"/>
                <w:sz w:val="21"/>
                <w:szCs w:val="21"/>
                <w:highlight w:val="none"/>
                <w:lang w:val="en-US"/>
              </w:rPr>
              <w:t xml:space="preserve">1.</w:t>
            </w:r>
            <w:r>
              <w:rPr>
                <w:rFonts w:hint="eastAsia"/>
                <w:color w:val="auto"/>
                <w:sz w:val="21"/>
                <w:szCs w:val="21"/>
                <w:highlight w:val="none"/>
                <w:lang w:val="en-US"/>
              </w:rPr>
              <w:t xml:space="preserve">一机多用，具有5气路同时采样功能，可同时作为四路环境空气采样器和一路颗粒物采样</w:t>
            </w:r>
            <w:r/>
          </w:p>
          <w:p>
            <w:pPr>
              <w:ind w:left="425" w:hanging="425"/>
              <w:jc w:val="both"/>
              <w:rPr>
                <w:color w:val="auto"/>
                <w:sz w:val="21"/>
                <w:szCs w:val="21"/>
                <w:highlight w:val="none"/>
                <w:lang w:val="en-US"/>
              </w:rPr>
            </w:pPr>
            <w:r>
              <w:rPr>
                <w:color w:val="auto"/>
                <w:sz w:val="21"/>
                <w:szCs w:val="21"/>
                <w:highlight w:val="none"/>
                <w:lang w:val="en-US"/>
              </w:rPr>
              <w:t xml:space="preserve">2.</w:t>
            </w:r>
            <w:r>
              <w:rPr>
                <w:rFonts w:hint="eastAsia"/>
                <w:color w:val="auto"/>
                <w:sz w:val="21"/>
                <w:szCs w:val="21"/>
                <w:highlight w:val="none"/>
                <w:lang w:val="en-US"/>
              </w:rPr>
              <w:t xml:space="preserve">每路采样流量分别独自控制，可以实现多种采样模式</w:t>
            </w:r>
            <w:r/>
          </w:p>
          <w:p>
            <w:pPr>
              <w:ind w:left="425" w:hanging="425"/>
              <w:jc w:val="both"/>
              <w:rPr>
                <w:color w:val="auto"/>
                <w:sz w:val="21"/>
                <w:szCs w:val="21"/>
                <w:highlight w:val="none"/>
                <w:lang w:val="en-US"/>
              </w:rPr>
            </w:pPr>
            <w:r>
              <w:rPr>
                <w:color w:val="auto"/>
                <w:sz w:val="21"/>
                <w:szCs w:val="21"/>
                <w:highlight w:val="none"/>
                <w:lang w:val="en-US"/>
              </w:rPr>
              <w:t xml:space="preserve">3.</w:t>
            </w:r>
            <w:r>
              <w:rPr>
                <w:rFonts w:hint="eastAsia"/>
                <w:color w:val="auto"/>
                <w:sz w:val="21"/>
                <w:szCs w:val="21"/>
                <w:highlight w:val="none"/>
                <w:lang w:val="en-US"/>
              </w:rPr>
              <w:t xml:space="preserve">自动计算累计采样体积，可换算参比采样体积或标况采样体积</w:t>
            </w:r>
            <w:r/>
          </w:p>
          <w:p>
            <w:pPr>
              <w:ind w:left="425" w:hanging="425"/>
              <w:jc w:val="both"/>
              <w:rPr>
                <w:color w:val="auto"/>
                <w:sz w:val="21"/>
                <w:szCs w:val="21"/>
                <w:highlight w:val="none"/>
                <w:lang w:val="en-US"/>
              </w:rPr>
            </w:pPr>
            <w:r>
              <w:rPr>
                <w:color w:val="auto"/>
                <w:sz w:val="21"/>
                <w:szCs w:val="21"/>
                <w:highlight w:val="none"/>
                <w:lang w:val="en-US"/>
              </w:rPr>
              <w:t xml:space="preserve">4.</w:t>
            </w:r>
            <w:r>
              <w:rPr>
                <w:rFonts w:hint="eastAsia"/>
                <w:color w:val="auto"/>
                <w:sz w:val="21"/>
                <w:szCs w:val="21"/>
                <w:highlight w:val="none"/>
                <w:lang w:val="en-US" w:eastAsia="zh-Hans"/>
              </w:rPr>
              <w:t xml:space="preserve">内置锂电池</w:t>
            </w:r>
            <w:r>
              <w:rPr>
                <w:color w:val="auto"/>
                <w:sz w:val="21"/>
                <w:szCs w:val="21"/>
                <w:highlight w:val="none"/>
                <w:lang w:eastAsia="zh-Hans"/>
              </w:rPr>
              <w:t xml:space="preserve">、</w:t>
            </w:r>
            <w:r>
              <w:rPr>
                <w:rFonts w:hint="eastAsia"/>
                <w:color w:val="auto"/>
                <w:sz w:val="21"/>
                <w:szCs w:val="21"/>
                <w:highlight w:val="none"/>
                <w:lang w:val="en-US"/>
              </w:rPr>
              <w:t xml:space="preserve">采样过程停电自动保存工作数据</w:t>
            </w:r>
            <w:r/>
          </w:p>
          <w:p>
            <w:pPr>
              <w:ind w:left="425" w:hanging="425"/>
              <w:jc w:val="both"/>
              <w:rPr>
                <w:color w:val="auto"/>
                <w:sz w:val="21"/>
                <w:szCs w:val="21"/>
                <w:highlight w:val="none"/>
                <w:lang w:val="en-US"/>
              </w:rPr>
            </w:pPr>
            <w:r>
              <w:rPr>
                <w:color w:val="auto"/>
                <w:sz w:val="21"/>
                <w:szCs w:val="21"/>
                <w:highlight w:val="none"/>
                <w:lang w:val="en-US"/>
              </w:rPr>
              <w:t xml:space="preserve">5.</w:t>
            </w:r>
            <w:r>
              <w:rPr>
                <w:rFonts w:hint="eastAsia"/>
                <w:color w:val="auto"/>
                <w:sz w:val="21"/>
                <w:szCs w:val="21"/>
                <w:highlight w:val="none"/>
                <w:lang w:val="en-US"/>
              </w:rPr>
              <w:t xml:space="preserve">大气压可输入和测量</w:t>
            </w:r>
            <w:r/>
          </w:p>
          <w:p>
            <w:pPr>
              <w:ind w:left="425" w:hanging="425"/>
              <w:jc w:val="both"/>
              <w:rPr>
                <w:color w:val="auto"/>
                <w:sz w:val="21"/>
                <w:szCs w:val="21"/>
                <w:highlight w:val="none"/>
                <w:lang w:val="en-US"/>
              </w:rPr>
            </w:pPr>
            <w:r>
              <w:rPr>
                <w:color w:val="auto"/>
                <w:sz w:val="21"/>
                <w:szCs w:val="21"/>
                <w:highlight w:val="none"/>
                <w:lang w:val="en-US"/>
              </w:rPr>
              <w:t xml:space="preserve">6.</w:t>
            </w:r>
            <w:r>
              <w:rPr>
                <w:rFonts w:hint="eastAsia"/>
                <w:color w:val="auto"/>
                <w:sz w:val="21"/>
                <w:szCs w:val="21"/>
                <w:highlight w:val="none"/>
                <w:lang w:val="en-US"/>
              </w:rPr>
              <w:t xml:space="preserve">提供USB接口，可将采样数据文件导出，同时支持程序升级</w:t>
            </w:r>
            <w:r/>
          </w:p>
          <w:p>
            <w:pPr>
              <w:ind w:left="425" w:hanging="425"/>
              <w:jc w:val="both"/>
              <w:rPr>
                <w:color w:val="auto"/>
                <w:sz w:val="21"/>
                <w:szCs w:val="21"/>
                <w:highlight w:val="none"/>
                <w:lang w:val="en-US"/>
              </w:rPr>
            </w:pPr>
            <w:r>
              <w:rPr>
                <w:color w:val="auto"/>
                <w:sz w:val="21"/>
                <w:szCs w:val="21"/>
                <w:highlight w:val="none"/>
                <w:lang w:val="en-US"/>
              </w:rPr>
              <w:t xml:space="preserve">7.</w:t>
            </w:r>
            <w:r>
              <w:rPr>
                <w:rFonts w:hint="eastAsia"/>
                <w:color w:val="auto"/>
                <w:sz w:val="21"/>
                <w:szCs w:val="21"/>
                <w:highlight w:val="none"/>
                <w:lang w:val="en-US"/>
              </w:rPr>
              <w:t xml:space="preserve">配备外挂折叠吸收瓶支撑架</w:t>
            </w:r>
            <w:r/>
          </w:p>
          <w:p>
            <w:pPr>
              <w:ind w:left="425" w:hanging="425"/>
              <w:jc w:val="both"/>
              <w:rPr>
                <w:color w:val="auto"/>
                <w:highlight w:val="none"/>
              </w:rPr>
            </w:pPr>
            <w:r>
              <w:rPr>
                <w:color w:val="auto"/>
                <w:highlight w:val="none"/>
              </w:rPr>
              <w:t xml:space="preserve">8.</w:t>
            </w:r>
            <w:r>
              <w:rPr>
                <w:rFonts w:hint="eastAsia"/>
                <w:color w:val="auto"/>
                <w:sz w:val="21"/>
                <w:szCs w:val="21"/>
                <w:highlight w:val="none"/>
                <w:lang w:val="en-US"/>
              </w:rPr>
              <w:t xml:space="preserve">预留物联网模块接口</w:t>
            </w:r>
            <w:r/>
          </w:p>
          <w:p>
            <w:pPr>
              <w:ind w:left="425" w:hanging="425"/>
              <w:jc w:val="both"/>
              <w:rPr>
                <w:color w:val="auto"/>
                <w:sz w:val="21"/>
                <w:szCs w:val="21"/>
                <w:highlight w:val="none"/>
                <w:lang w:val="en-US"/>
              </w:rPr>
            </w:pPr>
            <w:r>
              <w:rPr>
                <w:color w:val="auto"/>
                <w:sz w:val="21"/>
                <w:szCs w:val="21"/>
                <w:highlight w:val="none"/>
                <w:lang w:val="en-US"/>
              </w:rPr>
              <w:t xml:space="preserve">9.</w:t>
            </w:r>
            <w:r>
              <w:rPr>
                <w:rFonts w:hint="eastAsia"/>
                <w:color w:val="auto"/>
                <w:highlight w:val="none"/>
              </w:rPr>
              <w:t xml:space="preserve">颗粒物采样流量：（10~150）L/min，大气采样流量：标配（0~1.0）L/min</w:t>
            </w:r>
            <w:r>
              <w:rPr>
                <w:rFonts w:hint="eastAsia"/>
                <w:color w:val="auto"/>
                <w:highlight w:val="none"/>
                <w:lang w:val="en-US"/>
              </w:rPr>
              <w:t xml:space="preserve">;</w:t>
            </w:r>
            <w:r>
              <w:rPr>
                <w:rFonts w:hint="eastAsia"/>
                <w:color w:val="auto"/>
                <w:highlight w:val="none"/>
              </w:rPr>
              <w:t xml:space="preserve">颗粒物采样带载能力：100L/min流量时</w:t>
            </w:r>
            <w:r>
              <w:rPr>
                <w:rFonts w:hint="eastAsia"/>
                <w:color w:val="auto"/>
                <w:highlight w:val="none"/>
                <w:lang w:val="en-US"/>
              </w:rPr>
              <w:t xml:space="preserve">;</w:t>
            </w:r>
            <w:r>
              <w:rPr>
                <w:rFonts w:hint="eastAsia"/>
                <w:color w:val="auto"/>
                <w:highlight w:val="none"/>
              </w:rPr>
              <w:t xml:space="preserve">数据存储</w:t>
            </w:r>
            <w:r>
              <w:rPr>
                <w:rFonts w:hint="eastAsia"/>
                <w:color w:val="auto"/>
                <w:highlight w:val="none"/>
                <w:lang w:val="en-US"/>
              </w:rPr>
              <w:t xml:space="preserve">:≥5000</w:t>
            </w:r>
            <w:r>
              <w:rPr>
                <w:rFonts w:hint="eastAsia"/>
                <w:color w:val="auto"/>
                <w:highlight w:val="none"/>
              </w:rPr>
              <w:t xml:space="preserve">组</w:t>
            </w:r>
            <w:r/>
          </w:p>
          <w:p>
            <w:pPr>
              <w:pStyle w:val="880"/>
              <w:rPr>
                <w:color w:val="auto"/>
                <w:highlight w:val="none"/>
              </w:rPr>
            </w:pPr>
            <w:r>
              <w:rPr>
                <w:rFonts w:hint="eastAsia"/>
                <w:color w:val="auto"/>
                <w:sz w:val="21"/>
                <w:szCs w:val="21"/>
                <w:highlight w:val="none"/>
                <w:lang w:val="en-US"/>
              </w:rPr>
              <w:t xml:space="preserve">10</w:t>
            </w:r>
            <w:r>
              <w:rPr>
                <w:rFonts w:hint="eastAsia"/>
                <w:color w:val="auto"/>
                <w:sz w:val="21"/>
                <w:szCs w:val="21"/>
                <w:highlight w:val="none"/>
              </w:rPr>
              <w:t xml:space="preserve">、配置：主机</w:t>
            </w:r>
            <w:r>
              <w:rPr>
                <w:rFonts w:hint="eastAsia"/>
                <w:color w:val="auto"/>
                <w:sz w:val="21"/>
                <w:szCs w:val="21"/>
                <w:highlight w:val="none"/>
                <w:lang w:val="en-US"/>
              </w:rPr>
              <w:t xml:space="preserve">1个</w:t>
            </w:r>
            <w:r>
              <w:rPr>
                <w:rFonts w:hint="eastAsia"/>
                <w:color w:val="auto"/>
                <w:sz w:val="21"/>
                <w:szCs w:val="21"/>
                <w:highlight w:val="none"/>
              </w:rPr>
              <w:t xml:space="preserve">、适配器</w:t>
            </w:r>
            <w:r>
              <w:rPr>
                <w:rFonts w:hint="eastAsia"/>
                <w:color w:val="auto"/>
                <w:sz w:val="21"/>
                <w:szCs w:val="21"/>
                <w:highlight w:val="none"/>
                <w:lang w:val="en-US"/>
              </w:rPr>
              <w:t xml:space="preserve">1个</w:t>
            </w:r>
            <w:r>
              <w:rPr>
                <w:rFonts w:hint="eastAsia"/>
                <w:color w:val="auto"/>
                <w:sz w:val="21"/>
                <w:szCs w:val="21"/>
                <w:highlight w:val="none"/>
              </w:rPr>
              <w:t xml:space="preserve"> 适配TSP/PM10采样头</w:t>
            </w:r>
            <w:r>
              <w:rPr>
                <w:rFonts w:hint="eastAsia"/>
                <w:color w:val="auto"/>
                <w:sz w:val="21"/>
                <w:szCs w:val="21"/>
                <w:highlight w:val="none"/>
                <w:lang w:val="en-US"/>
              </w:rPr>
              <w:t xml:space="preserve">各1个</w:t>
            </w:r>
            <w:r>
              <w:rPr>
                <w:rFonts w:hint="eastAsia"/>
                <w:color w:val="auto"/>
                <w:sz w:val="21"/>
                <w:szCs w:val="21"/>
                <w:highlight w:val="none"/>
              </w:rPr>
              <w:t xml:space="preserve">、三脚支架</w:t>
            </w:r>
            <w:r>
              <w:rPr>
                <w:rFonts w:hint="eastAsia"/>
                <w:color w:val="auto"/>
                <w:sz w:val="21"/>
                <w:szCs w:val="21"/>
                <w:highlight w:val="none"/>
                <w:lang w:val="en-US"/>
              </w:rPr>
              <w:t xml:space="preserve">1个</w:t>
            </w:r>
            <w:r>
              <w:rPr>
                <w:rFonts w:hint="eastAsia"/>
                <w:color w:val="auto"/>
                <w:sz w:val="21"/>
                <w:szCs w:val="21"/>
                <w:highlight w:val="none"/>
              </w:rPr>
              <w:t xml:space="preserve">、防倒吸干燥器</w:t>
            </w:r>
            <w:r>
              <w:rPr>
                <w:rFonts w:hint="eastAsia"/>
                <w:color w:val="auto"/>
                <w:sz w:val="21"/>
                <w:szCs w:val="21"/>
                <w:highlight w:val="none"/>
                <w:lang w:val="en-US"/>
              </w:rPr>
              <w:t xml:space="preserve">1个</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3</w:t>
            </w:r>
            <w:r>
              <w:rPr>
                <w:color w:val="auto"/>
                <w:highlight w:val="none"/>
              </w:rPr>
              <w:t xml:space="preserve">2</w:t>
            </w:r>
            <w:r/>
          </w:p>
        </w:tc>
        <w:tc>
          <w:tcPr>
            <w:tcW w:w="1701" w:type="dxa"/>
            <w:vAlign w:val="center"/>
            <w:textDirection w:val="lrTb"/>
            <w:noWrap w:val="false"/>
          </w:tcPr>
          <w:p>
            <w:pPr>
              <w:widowControl/>
              <w:rPr>
                <w:color w:val="auto"/>
                <w:highlight w:val="none"/>
                <w:lang w:bidi="ar"/>
              </w:rPr>
            </w:pPr>
            <w:r/>
            <w:bookmarkStart w:id="51" w:name="OLE_LINK56"/>
            <w:r/>
            <w:bookmarkStart w:id="52" w:name="OLE_LINK57"/>
            <w:r>
              <w:rPr>
                <w:rFonts w:hint="eastAsia"/>
                <w:color w:val="auto"/>
                <w:highlight w:val="none"/>
              </w:rPr>
              <w:t xml:space="preserve">土壤墒情传感器（含采集器）</w:t>
            </w:r>
            <w:bookmarkEnd w:id="51"/>
            <w:r/>
            <w:bookmarkEnd w:id="52"/>
            <w:r/>
            <w:r/>
          </w:p>
        </w:tc>
        <w:tc>
          <w:tcPr>
            <w:tcW w:w="7796" w:type="dxa"/>
            <w:vAlign w:val="center"/>
            <w:textDirection w:val="lrTb"/>
            <w:noWrap w:val="false"/>
          </w:tcPr>
          <w:p>
            <w:pPr>
              <w:contextualSpacing/>
              <w:rPr>
                <w:color w:val="auto"/>
                <w:sz w:val="21"/>
                <w:szCs w:val="21"/>
                <w:highlight w:val="none"/>
              </w:rPr>
            </w:pPr>
            <w:r>
              <w:rPr>
                <w:rFonts w:hint="eastAsia"/>
                <w:bCs/>
                <w:color w:val="auto"/>
                <w:sz w:val="21"/>
                <w:szCs w:val="21"/>
                <w:highlight w:val="none"/>
              </w:rPr>
              <w:t xml:space="preserve">▲1、</w:t>
            </w:r>
            <w:r>
              <w:rPr>
                <w:rFonts w:hint="eastAsia"/>
                <w:color w:val="auto"/>
                <w:sz w:val="21"/>
                <w:szCs w:val="21"/>
                <w:highlight w:val="none"/>
              </w:rPr>
              <w:t xml:space="preserve">多参数集成：单探头同时监测土壤温度、水分、电导率(EC)、pH值、氮磷钾，一次插入获取全量数据</w:t>
            </w:r>
            <w:r/>
          </w:p>
          <w:p>
            <w:pPr>
              <w:contextualSpacing/>
              <w:rPr>
                <w:color w:val="auto"/>
                <w:sz w:val="21"/>
                <w:szCs w:val="21"/>
                <w:highlight w:val="none"/>
              </w:rPr>
            </w:pPr>
            <w:r>
              <w:rPr>
                <w:rFonts w:hint="eastAsia"/>
                <w:color w:val="auto"/>
                <w:sz w:val="21"/>
                <w:szCs w:val="21"/>
                <w:highlight w:val="none"/>
              </w:rPr>
              <w:t xml:space="preserve">2、量程指标：电导率量程 0-10000μs/cm；水分量程 0-100%RH；pH量程 0-14；氮磷钾量程 0-1999mg/kg</w:t>
            </w:r>
            <w:r/>
          </w:p>
          <w:p>
            <w:pPr>
              <w:contextualSpacing/>
              <w:rPr>
                <w:color w:val="auto"/>
                <w:sz w:val="21"/>
                <w:szCs w:val="21"/>
                <w:highlight w:val="none"/>
              </w:rPr>
            </w:pPr>
            <w:r>
              <w:rPr>
                <w:rFonts w:hint="eastAsia"/>
                <w:color w:val="auto"/>
                <w:sz w:val="21"/>
                <w:szCs w:val="21"/>
                <w:highlight w:val="none"/>
              </w:rPr>
              <w:t xml:space="preserve">3、通讯协议：</w:t>
            </w:r>
            <w:bookmarkStart w:id="53" w:name="OLE_LINK41"/>
            <w:r/>
            <w:bookmarkStart w:id="54" w:name="OLE_LINK42"/>
            <w:r>
              <w:rPr>
                <w:rFonts w:hint="eastAsia"/>
                <w:color w:val="auto"/>
                <w:sz w:val="21"/>
                <w:szCs w:val="21"/>
                <w:highlight w:val="none"/>
              </w:rPr>
              <w:t xml:space="preserve">RS485 Modbu</w:t>
            </w:r>
            <w:bookmarkEnd w:id="53"/>
            <w:r/>
            <w:bookmarkEnd w:id="54"/>
            <w:r>
              <w:rPr>
                <w:rFonts w:hint="eastAsia"/>
                <w:color w:val="auto"/>
                <w:sz w:val="21"/>
                <w:szCs w:val="21"/>
                <w:highlight w:val="none"/>
              </w:rPr>
              <w:t xml:space="preserve">s协议，标准工业接口</w:t>
            </w:r>
            <w:r/>
          </w:p>
          <w:p>
            <w:pPr>
              <w:contextualSpacing/>
              <w:rPr>
                <w:color w:val="auto"/>
                <w:sz w:val="21"/>
                <w:szCs w:val="21"/>
                <w:highlight w:val="none"/>
              </w:rPr>
            </w:pPr>
            <w:r>
              <w:rPr>
                <w:rFonts w:hint="eastAsia"/>
                <w:color w:val="auto"/>
                <w:sz w:val="21"/>
                <w:szCs w:val="21"/>
                <w:highlight w:val="none"/>
              </w:rPr>
              <w:t xml:space="preserve">4、防护等级：≥IP68，可长期埋地使用，耐腐蚀不锈钢探针</w:t>
            </w:r>
            <w:r/>
          </w:p>
          <w:p>
            <w:pPr>
              <w:contextualSpacing/>
              <w:rPr>
                <w:color w:val="auto"/>
                <w:sz w:val="21"/>
                <w:szCs w:val="21"/>
                <w:highlight w:val="none"/>
              </w:rPr>
            </w:pPr>
            <w:r>
              <w:rPr>
                <w:rFonts w:hint="eastAsia"/>
                <w:color w:val="auto"/>
                <w:sz w:val="21"/>
                <w:szCs w:val="21"/>
                <w:highlight w:val="none"/>
              </w:rPr>
              <w:t xml:space="preserve">5、供电电源：12-24V DC</w:t>
            </w:r>
            <w:r/>
          </w:p>
          <w:p>
            <w:pPr>
              <w:contextualSpacing/>
              <w:rPr>
                <w:color w:val="auto"/>
                <w:sz w:val="21"/>
                <w:szCs w:val="21"/>
                <w:highlight w:val="none"/>
              </w:rPr>
            </w:pPr>
            <w:r>
              <w:rPr>
                <w:rFonts w:hint="eastAsia"/>
                <w:color w:val="auto"/>
                <w:sz w:val="21"/>
                <w:szCs w:val="21"/>
                <w:highlight w:val="none"/>
              </w:rPr>
              <w:t xml:space="preserve">6、温度测量范围：-40℃-80℃(可定制)</w:t>
            </w:r>
            <w:r/>
          </w:p>
          <w:p>
            <w:pPr>
              <w:contextualSpacing/>
              <w:rPr>
                <w:color w:val="auto"/>
                <w:sz w:val="21"/>
                <w:szCs w:val="21"/>
                <w:highlight w:val="none"/>
              </w:rPr>
            </w:pPr>
            <w:r>
              <w:rPr>
                <w:rFonts w:hint="eastAsia"/>
                <w:color w:val="auto"/>
                <w:sz w:val="21"/>
                <w:szCs w:val="21"/>
                <w:highlight w:val="none"/>
              </w:rPr>
              <w:t xml:space="preserve">7、水分测量范围：0-100%</w:t>
            </w:r>
            <w:r/>
          </w:p>
          <w:p>
            <w:pPr>
              <w:contextualSpacing/>
              <w:rPr>
                <w:color w:val="auto"/>
                <w:sz w:val="21"/>
                <w:szCs w:val="21"/>
                <w:highlight w:val="none"/>
              </w:rPr>
            </w:pPr>
            <w:r>
              <w:rPr>
                <w:rFonts w:hint="eastAsia"/>
                <w:color w:val="auto"/>
                <w:sz w:val="21"/>
                <w:szCs w:val="21"/>
                <w:highlight w:val="none"/>
              </w:rPr>
              <w:t xml:space="preserve">8、温度精度：±0.5℃</w:t>
            </w:r>
            <w:r/>
          </w:p>
          <w:p>
            <w:pPr>
              <w:contextualSpacing/>
              <w:rPr>
                <w:color w:val="auto"/>
                <w:sz w:val="21"/>
                <w:szCs w:val="21"/>
                <w:highlight w:val="none"/>
              </w:rPr>
            </w:pPr>
            <w:r>
              <w:rPr>
                <w:rFonts w:hint="eastAsia"/>
                <w:color w:val="auto"/>
                <w:sz w:val="21"/>
                <w:szCs w:val="21"/>
                <w:highlight w:val="none"/>
              </w:rPr>
              <w:t xml:space="preserve">9、量程：-45℃-115℃</w:t>
            </w:r>
            <w:r/>
          </w:p>
          <w:p>
            <w:pPr>
              <w:contextualSpacing/>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0</w:t>
            </w:r>
            <w:r>
              <w:rPr>
                <w:rFonts w:hint="eastAsia"/>
                <w:color w:val="auto"/>
                <w:sz w:val="21"/>
                <w:szCs w:val="21"/>
                <w:highlight w:val="none"/>
              </w:rPr>
              <w:t xml:space="preserve">、输出信号：RS485</w:t>
            </w:r>
            <w:r/>
          </w:p>
          <w:p>
            <w:pPr>
              <w:contextualSpacing/>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、水分精度：0-53%范围内为±3%；53-100%范围内为±5%</w:t>
            </w:r>
            <w:r/>
          </w:p>
          <w:p>
            <w:pPr>
              <w:contextualSpacing/>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、安装方式：全部埋入或探针全部插入被测介质</w:t>
            </w:r>
            <w:r/>
          </w:p>
          <w:p>
            <w:pPr>
              <w:contextualSpacing/>
              <w:rPr>
                <w:color w:val="auto"/>
                <w:sz w:val="21"/>
                <w:szCs w:val="21"/>
                <w:highlight w:val="none"/>
              </w:rPr>
            </w:pPr>
            <w:r>
              <w:rPr>
                <w:rFonts w:hint="eastAsia"/>
                <w:color w:val="auto"/>
                <w:sz w:val="21"/>
                <w:szCs w:val="21"/>
                <w:highlight w:val="none"/>
              </w:rPr>
              <w:t xml:space="preserve">响应时间：&lt;1s</w:t>
            </w:r>
            <w:r/>
          </w:p>
          <w:p>
            <w:pPr>
              <w:contextualSpacing/>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en-US"/>
              </w:rPr>
              <w:t xml:space="preserve">3</w:t>
            </w:r>
            <w:r>
              <w:rPr>
                <w:rFonts w:hint="eastAsia"/>
                <w:color w:val="auto"/>
                <w:sz w:val="21"/>
                <w:szCs w:val="21"/>
                <w:highlight w:val="none"/>
              </w:rPr>
              <w:t xml:space="preserve">、工作压力范围：0.9-1.1</w:t>
            </w:r>
            <w:bookmarkStart w:id="55" w:name="OLE_LINK44"/>
            <w:r/>
            <w:bookmarkStart w:id="56" w:name="OLE_LINK43"/>
            <w:r>
              <w:rPr>
                <w:rFonts w:hint="eastAsia"/>
                <w:color w:val="auto"/>
                <w:sz w:val="21"/>
                <w:szCs w:val="21"/>
                <w:highlight w:val="none"/>
              </w:rPr>
              <w:t xml:space="preserve">atm</w:t>
            </w:r>
            <w:bookmarkEnd w:id="55"/>
            <w:r/>
            <w:bookmarkEnd w:id="56"/>
            <w:r/>
            <w:r/>
          </w:p>
          <w:p>
            <w:pPr>
              <w:contextualSpacing/>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en-US"/>
              </w:rPr>
              <w:t xml:space="preserve">4</w:t>
            </w:r>
            <w:r>
              <w:rPr>
                <w:rFonts w:hint="eastAsia"/>
                <w:color w:val="auto"/>
                <w:sz w:val="21"/>
                <w:szCs w:val="21"/>
                <w:highlight w:val="none"/>
              </w:rPr>
              <w:t xml:space="preserve">、含4G信号放大器×1套（含天线）</w:t>
            </w:r>
            <w:r/>
          </w:p>
          <w:p>
            <w:pPr>
              <w:contextualSpacing/>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en-US"/>
              </w:rPr>
              <w:t xml:space="preserve">5</w:t>
            </w:r>
            <w:r>
              <w:rPr>
                <w:rFonts w:hint="eastAsia"/>
                <w:color w:val="auto"/>
                <w:sz w:val="21"/>
                <w:szCs w:val="21"/>
                <w:highlight w:val="none"/>
              </w:rPr>
              <w:t xml:space="preserve">、功能：NB-IoT/4G 物联网信号增强（传感器专项）</w:t>
            </w:r>
            <w:r/>
          </w:p>
          <w:p>
            <w:pPr>
              <w:contextualSpacing/>
              <w:rPr>
                <w:color w:val="auto"/>
                <w:sz w:val="21"/>
                <w:szCs w:val="21"/>
                <w:highlight w:val="none"/>
              </w:rPr>
            </w:pPr>
            <w:r>
              <w:rPr>
                <w:rFonts w:hint="eastAsia"/>
                <w:bCs/>
                <w:color w:val="auto"/>
                <w:sz w:val="21"/>
                <w:szCs w:val="21"/>
                <w:highlight w:val="none"/>
              </w:rPr>
              <w:t xml:space="preserve">1</w:t>
            </w:r>
            <w:r>
              <w:rPr>
                <w:rFonts w:hint="eastAsia"/>
                <w:bCs/>
                <w:color w:val="auto"/>
                <w:sz w:val="21"/>
                <w:szCs w:val="21"/>
                <w:highlight w:val="none"/>
                <w:lang w:val="en-US"/>
              </w:rPr>
              <w:t xml:space="preserve">6</w:t>
            </w:r>
            <w:r>
              <w:rPr>
                <w:rFonts w:hint="eastAsia"/>
                <w:bCs/>
                <w:color w:val="auto"/>
                <w:sz w:val="21"/>
                <w:szCs w:val="21"/>
                <w:highlight w:val="none"/>
              </w:rPr>
              <w:t xml:space="preserve">、</w:t>
            </w:r>
            <w:r>
              <w:rPr>
                <w:rFonts w:hint="eastAsia"/>
                <w:color w:val="auto"/>
                <w:sz w:val="21"/>
                <w:szCs w:val="21"/>
                <w:highlight w:val="none"/>
              </w:rPr>
              <w:t xml:space="preserve">改造要求：现场勘测4G信号强度（RSRP值）；如RSRP &lt; -100dBm，需安装 室内4G信号放大器（覆盖面积≥500㎡），或在传感器密集区部署 LoRa网关（配合NB-IoT中继）确保数据上传至云平台不中断。</w:t>
            </w:r>
            <w:r/>
          </w:p>
          <w:p>
            <w:pPr>
              <w:pStyle w:val="939"/>
              <w:contextualSpacing/>
              <w:ind w:left="0" w:firstLine="0"/>
              <w:rPr>
                <w:color w:val="auto"/>
                <w:sz w:val="21"/>
                <w:szCs w:val="21"/>
                <w:highlight w:val="none"/>
                <w:lang w:bidi="ar"/>
              </w:rPr>
            </w:pPr>
            <w:r>
              <w:rPr>
                <w:rFonts w:hint="eastAsia"/>
                <w:bCs/>
                <w:color w:val="auto"/>
                <w:sz w:val="21"/>
                <w:szCs w:val="21"/>
                <w:highlight w:val="none"/>
              </w:rPr>
              <w:t xml:space="preserve">1</w:t>
            </w:r>
            <w:r>
              <w:rPr>
                <w:rFonts w:hint="eastAsia"/>
                <w:bCs/>
                <w:color w:val="auto"/>
                <w:sz w:val="21"/>
                <w:szCs w:val="21"/>
                <w:highlight w:val="none"/>
                <w:lang w:val="en-US"/>
              </w:rPr>
              <w:t xml:space="preserve">7</w:t>
            </w:r>
            <w:r>
              <w:rPr>
                <w:rFonts w:hint="eastAsia"/>
                <w:bCs/>
                <w:color w:val="auto"/>
                <w:sz w:val="21"/>
                <w:szCs w:val="21"/>
                <w:highlight w:val="none"/>
              </w:rPr>
              <w:t xml:space="preserve">、</w:t>
            </w:r>
            <w:r>
              <w:rPr>
                <w:rFonts w:hint="eastAsia"/>
                <w:color w:val="auto"/>
                <w:sz w:val="21"/>
                <w:szCs w:val="21"/>
                <w:highlight w:val="none"/>
              </w:rPr>
              <w:t xml:space="preserve">验收标准：云平台可稳定接收传感器数据，30分钟内无数据中断报警。</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3</w:t>
            </w:r>
            <w:r>
              <w:rPr>
                <w:color w:val="auto"/>
                <w:highlight w:val="none"/>
              </w:rPr>
              <w:t xml:space="preserve">3</w:t>
            </w:r>
            <w:r/>
          </w:p>
        </w:tc>
        <w:tc>
          <w:tcPr>
            <w:tcW w:w="1701" w:type="dxa"/>
            <w:vAlign w:val="center"/>
            <w:textDirection w:val="lrTb"/>
            <w:noWrap w:val="false"/>
          </w:tcPr>
          <w:p>
            <w:pPr>
              <w:widowControl/>
              <w:rPr>
                <w:color w:val="auto"/>
                <w:highlight w:val="none"/>
                <w:lang w:bidi="ar"/>
              </w:rPr>
            </w:pPr>
            <w:r>
              <w:rPr>
                <w:rFonts w:hint="eastAsia"/>
                <w:color w:val="auto"/>
                <w:highlight w:val="none"/>
              </w:rPr>
              <w:t xml:space="preserve">土壤pH/肥力速测仪</w:t>
            </w:r>
            <w:r/>
          </w:p>
        </w:tc>
        <w:tc>
          <w:tcPr>
            <w:tcW w:w="7796" w:type="dxa"/>
            <w:vAlign w:val="center"/>
            <w:textDirection w:val="lrTb"/>
            <w:noWrap w:val="false"/>
          </w:tcPr>
          <w:p>
            <w:pPr>
              <w:contextualSpacing/>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、施肥系统：内置测土配方施肥系统</w:t>
            </w:r>
            <w:r/>
          </w:p>
          <w:p>
            <w:pPr>
              <w:contextualSpacing/>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、图谱诊断 ：内置植物营养诊断标准图谱</w:t>
            </w:r>
            <w:r/>
          </w:p>
          <w:p>
            <w:pPr>
              <w:contextualSpacing/>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、线性误差：0.1%(0.001，硫酸铜检测)</w:t>
            </w:r>
            <w:r/>
          </w:p>
          <w:p>
            <w:pPr>
              <w:contextualSpacing/>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、电源：交流220士22V 直流12V+5V(内置锂电池也可用车载电源)</w:t>
            </w:r>
            <w:r/>
          </w:p>
          <w:p>
            <w:pPr>
              <w:contextualSpacing/>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、灵敏度：红光4.5X10-5蓝光3.17X10-3绿光2.35x10-3橙光2.13x10-3</w:t>
            </w:r>
            <w:r/>
          </w:p>
          <w:p>
            <w:pPr>
              <w:contextualSpacing/>
              <w:rPr>
                <w:color w:val="auto"/>
                <w:sz w:val="21"/>
                <w:szCs w:val="21"/>
                <w:highlight w:val="none"/>
              </w:rPr>
            </w:pPr>
            <w:r>
              <w:rPr>
                <w:color w:val="auto"/>
                <w:sz w:val="21"/>
                <w:szCs w:val="21"/>
                <w:highlight w:val="none"/>
              </w:rPr>
              <w:t xml:space="preserve">6</w:t>
            </w:r>
            <w:r>
              <w:rPr>
                <w:rFonts w:hint="eastAsia"/>
                <w:color w:val="auto"/>
                <w:sz w:val="21"/>
                <w:szCs w:val="21"/>
                <w:highlight w:val="none"/>
              </w:rPr>
              <w:t xml:space="preserve">、波长范围：红光:680士2nm;蓝光:420士2nm;绿光:510士2nm;橙光:590</w:t>
            </w:r>
            <w:bookmarkStart w:id="57" w:name="OLE_LINK46"/>
            <w:r/>
            <w:bookmarkStart w:id="58" w:name="OLE_LINK45"/>
            <w:r>
              <w:rPr>
                <w:rFonts w:hint="eastAsia"/>
                <w:color w:val="auto"/>
                <w:sz w:val="21"/>
                <w:szCs w:val="21"/>
                <w:highlight w:val="none"/>
              </w:rPr>
              <w:t xml:space="preserve">士</w:t>
            </w:r>
            <w:bookmarkEnd w:id="57"/>
            <w:r/>
            <w:bookmarkEnd w:id="58"/>
            <w:r>
              <w:rPr>
                <w:rFonts w:hint="eastAsia"/>
                <w:color w:val="auto"/>
                <w:sz w:val="21"/>
                <w:szCs w:val="21"/>
                <w:highlight w:val="none"/>
              </w:rPr>
              <w:t xml:space="preserve">4nm</w:t>
            </w:r>
            <w:r/>
          </w:p>
          <w:p>
            <w:pPr>
              <w:contextualSpacing/>
              <w:rPr>
                <w:color w:val="auto"/>
                <w:sz w:val="21"/>
                <w:szCs w:val="21"/>
                <w:highlight w:val="none"/>
              </w:rPr>
            </w:pPr>
            <w:r>
              <w:rPr>
                <w:color w:val="auto"/>
                <w:sz w:val="21"/>
                <w:szCs w:val="21"/>
                <w:highlight w:val="none"/>
              </w:rPr>
              <w:t xml:space="preserve">7</w:t>
            </w:r>
            <w:r>
              <w:rPr>
                <w:rFonts w:hint="eastAsia"/>
                <w:color w:val="auto"/>
                <w:sz w:val="21"/>
                <w:szCs w:val="21"/>
                <w:highlight w:val="none"/>
              </w:rPr>
              <w:t xml:space="preserve">、PH值(酸碱度)：测试范围:1~14 精度:0.01 ,误差: 士0.1</w:t>
            </w:r>
            <w:r/>
          </w:p>
          <w:p>
            <w:pPr>
              <w:contextualSpacing/>
              <w:rPr>
                <w:color w:val="auto"/>
                <w:sz w:val="21"/>
                <w:szCs w:val="21"/>
                <w:highlight w:val="none"/>
              </w:rPr>
            </w:pPr>
            <w:r>
              <w:rPr>
                <w:rFonts w:hint="eastAsia"/>
                <w:color w:val="auto"/>
                <w:sz w:val="21"/>
                <w:szCs w:val="21"/>
                <w:highlight w:val="none"/>
                <w:lang w:val="en-US"/>
              </w:rPr>
              <w:t xml:space="preserve">8</w:t>
            </w:r>
            <w:r>
              <w:rPr>
                <w:rFonts w:hint="eastAsia"/>
                <w:color w:val="auto"/>
                <w:sz w:val="21"/>
                <w:szCs w:val="21"/>
                <w:highlight w:val="none"/>
              </w:rPr>
              <w:t xml:space="preserve">、5寸以上彩色触摸屏，显示屏分辨率≥1024*600</w:t>
            </w:r>
            <w:r/>
          </w:p>
          <w:p>
            <w:pPr>
              <w:contextualSpacing/>
              <w:rPr>
                <w:color w:val="auto"/>
                <w:sz w:val="21"/>
                <w:szCs w:val="21"/>
                <w:highlight w:val="none"/>
              </w:rPr>
            </w:pPr>
            <w:r>
              <w:rPr>
                <w:rFonts w:hint="eastAsia"/>
                <w:color w:val="auto"/>
                <w:sz w:val="21"/>
                <w:szCs w:val="21"/>
                <w:highlight w:val="none"/>
                <w:lang w:val="en-US"/>
              </w:rPr>
              <w:t xml:space="preserve">9</w:t>
            </w:r>
            <w:r>
              <w:rPr>
                <w:rFonts w:hint="eastAsia"/>
                <w:color w:val="auto"/>
                <w:sz w:val="21"/>
                <w:szCs w:val="21"/>
                <w:highlight w:val="none"/>
              </w:rPr>
              <w:t xml:space="preserve">、抗震等级：≥IP65</w:t>
            </w:r>
            <w:r/>
          </w:p>
          <w:p>
            <w:pPr>
              <w:contextualSpacing/>
              <w:rPr>
                <w:color w:val="auto"/>
                <w:sz w:val="21"/>
                <w:szCs w:val="21"/>
                <w:highlight w:val="none"/>
              </w:rPr>
            </w:pPr>
            <w:r>
              <w:rPr>
                <w:rFonts w:hint="eastAsia"/>
                <w:color w:val="auto"/>
                <w:sz w:val="21"/>
                <w:szCs w:val="21"/>
                <w:highlight w:val="none"/>
                <w:lang w:val="en-US"/>
              </w:rPr>
              <w:t xml:space="preserve">10</w:t>
            </w:r>
            <w:r>
              <w:rPr>
                <w:rFonts w:hint="eastAsia"/>
                <w:color w:val="auto"/>
                <w:sz w:val="21"/>
                <w:szCs w:val="21"/>
                <w:highlight w:val="none"/>
              </w:rPr>
              <w:t xml:space="preserve">、量程及分辨率:0.001-9999</w:t>
            </w:r>
            <w:r/>
          </w:p>
          <w:p>
            <w:pPr>
              <w:contextualSpacing/>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1</w:t>
            </w:r>
            <w:r>
              <w:rPr>
                <w:rFonts w:hint="eastAsia"/>
                <w:color w:val="auto"/>
                <w:sz w:val="21"/>
                <w:szCs w:val="21"/>
                <w:highlight w:val="none"/>
              </w:rPr>
              <w:t xml:space="preserve">、功率:5W</w:t>
            </w:r>
            <w:r/>
          </w:p>
          <w:p>
            <w:pPr>
              <w:contextualSpacing/>
              <w:rPr>
                <w:color w:val="auto"/>
                <w:sz w:val="21"/>
                <w:szCs w:val="21"/>
                <w:highlight w:val="none"/>
              </w:rPr>
            </w:pPr>
            <w:r>
              <w:rPr>
                <w:rFonts w:hint="eastAsia"/>
                <w:bCs/>
                <w:color w:val="auto"/>
                <w:sz w:val="21"/>
                <w:szCs w:val="21"/>
                <w:highlight w:val="none"/>
              </w:rPr>
              <w:t xml:space="preserve">▲1</w:t>
            </w:r>
            <w:r>
              <w:rPr>
                <w:rFonts w:hint="eastAsia"/>
                <w:bCs/>
                <w:color w:val="auto"/>
                <w:sz w:val="21"/>
                <w:szCs w:val="21"/>
                <w:highlight w:val="none"/>
                <w:lang w:val="en-US"/>
              </w:rPr>
              <w:t xml:space="preserve">2</w:t>
            </w:r>
            <w:r>
              <w:rPr>
                <w:rFonts w:hint="eastAsia"/>
                <w:bCs/>
                <w:color w:val="auto"/>
                <w:sz w:val="21"/>
                <w:szCs w:val="21"/>
                <w:highlight w:val="none"/>
              </w:rPr>
              <w:t xml:space="preserve">、</w:t>
            </w:r>
            <w:r>
              <w:rPr>
                <w:rFonts w:hint="eastAsia"/>
                <w:color w:val="auto"/>
                <w:sz w:val="21"/>
                <w:szCs w:val="21"/>
                <w:highlight w:val="none"/>
              </w:rPr>
              <w:t xml:space="preserve">打印功能：内置热敏打印机，可现场出具检测凭条，满足实训留档需求，内置打印可以打印二维码</w:t>
            </w:r>
            <w:r/>
          </w:p>
          <w:p>
            <w:pPr>
              <w:pStyle w:val="939"/>
              <w:contextualSpacing/>
              <w:ind w:left="0" w:firstLine="0"/>
              <w:rPr>
                <w:color w:val="auto"/>
                <w:sz w:val="21"/>
                <w:szCs w:val="21"/>
                <w:highlight w:val="none"/>
                <w:lang w:bidi="ar"/>
              </w:rPr>
            </w:pPr>
            <w:r>
              <w:rPr>
                <w:rFonts w:hint="eastAsia"/>
                <w:color w:val="auto"/>
                <w:sz w:val="21"/>
                <w:szCs w:val="21"/>
                <w:highlight w:val="none"/>
              </w:rPr>
              <w:t xml:space="preserve">1</w:t>
            </w:r>
            <w:r>
              <w:rPr>
                <w:rFonts w:hint="eastAsia"/>
                <w:color w:val="auto"/>
                <w:sz w:val="21"/>
                <w:szCs w:val="21"/>
                <w:highlight w:val="none"/>
                <w:lang w:val="en-US"/>
              </w:rPr>
              <w:t xml:space="preserve">3</w:t>
            </w:r>
            <w:r>
              <w:rPr>
                <w:rFonts w:hint="eastAsia"/>
                <w:color w:val="auto"/>
                <w:sz w:val="21"/>
                <w:szCs w:val="21"/>
                <w:highlight w:val="none"/>
              </w:rPr>
              <w:t xml:space="preserve">、电源：内置大容量锂电池（≥5000mAh），支持户外移动作业</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3</w:t>
            </w:r>
            <w:r>
              <w:rPr>
                <w:color w:val="auto"/>
                <w:highlight w:val="none"/>
              </w:rPr>
              <w:t xml:space="preserve">4</w:t>
            </w:r>
            <w:r/>
          </w:p>
        </w:tc>
        <w:tc>
          <w:tcPr>
            <w:tcW w:w="1701" w:type="dxa"/>
            <w:vAlign w:val="center"/>
            <w:textDirection w:val="lrTb"/>
            <w:noWrap w:val="false"/>
          </w:tcPr>
          <w:p>
            <w:pPr>
              <w:widowControl/>
              <w:rPr>
                <w:color w:val="auto"/>
                <w:highlight w:val="none"/>
                <w:lang w:bidi="ar"/>
              </w:rPr>
            </w:pPr>
            <w:r>
              <w:rPr>
                <w:rFonts w:hint="eastAsia"/>
                <w:color w:val="auto"/>
                <w:highlight w:val="none"/>
              </w:rPr>
              <w:t xml:space="preserve">树木生长锥取样器</w:t>
            </w:r>
            <w:r/>
          </w:p>
        </w:tc>
        <w:tc>
          <w:tcPr>
            <w:tcW w:w="7796" w:type="dxa"/>
            <w:vAlign w:val="center"/>
            <w:textDirection w:val="lrTb"/>
            <w:noWrap w:val="false"/>
          </w:tcPr>
          <w:p>
            <w:pPr>
              <w:contextualSpacing/>
              <w:rPr>
                <w:color w:val="auto"/>
                <w:sz w:val="21"/>
                <w:szCs w:val="21"/>
                <w:highlight w:val="none"/>
              </w:rPr>
            </w:pPr>
            <w:r>
              <w:rPr>
                <w:rFonts w:hint="eastAsia"/>
                <w:bCs/>
                <w:color w:val="auto"/>
                <w:sz w:val="21"/>
                <w:szCs w:val="21"/>
                <w:highlight w:val="none"/>
              </w:rPr>
              <w:t xml:space="preserve">▲1、规</w:t>
            </w:r>
            <w:r>
              <w:rPr>
                <w:rFonts w:hint="eastAsia"/>
                <w:color w:val="auto"/>
                <w:sz w:val="21"/>
                <w:szCs w:val="21"/>
                <w:highlight w:val="none"/>
              </w:rPr>
              <w:t xml:space="preserve">格参数：两线螺纹设计，取样内径 5.15mm，有效取样长度 200mm</w:t>
            </w:r>
            <w:r/>
          </w:p>
          <w:p>
            <w:pPr>
              <w:contextualSpacing/>
              <w:rPr>
                <w:color w:val="auto"/>
                <w:sz w:val="21"/>
                <w:szCs w:val="21"/>
                <w:highlight w:val="none"/>
              </w:rPr>
            </w:pPr>
            <w:r>
              <w:rPr>
                <w:rFonts w:hint="eastAsia"/>
                <w:color w:val="auto"/>
                <w:sz w:val="21"/>
                <w:szCs w:val="21"/>
                <w:highlight w:val="none"/>
              </w:rPr>
              <w:t xml:space="preserve">2、材质：特种钢材工艺，表面含特氟龙防锈涂层，减少钻入阻力≥30%</w:t>
            </w:r>
            <w:r/>
          </w:p>
          <w:p>
            <w:pPr>
              <w:pStyle w:val="939"/>
              <w:contextualSpacing/>
              <w:ind w:left="0" w:firstLine="0"/>
              <w:rPr>
                <w:color w:val="auto"/>
                <w:sz w:val="21"/>
                <w:szCs w:val="21"/>
                <w:highlight w:val="none"/>
                <w:lang w:bidi="ar"/>
              </w:rPr>
            </w:pPr>
            <w:r>
              <w:rPr>
                <w:rFonts w:hint="eastAsia"/>
                <w:color w:val="auto"/>
                <w:sz w:val="21"/>
                <w:szCs w:val="21"/>
                <w:highlight w:val="none"/>
              </w:rPr>
              <w:t xml:space="preserve">3、配件：配备专用推杆与纸质样本管，取样完整不破坏年轮结构。</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3</w:t>
            </w:r>
            <w:r>
              <w:rPr>
                <w:color w:val="auto"/>
                <w:highlight w:val="none"/>
              </w:rPr>
              <w:t xml:space="preserve">5</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电动绿篱修剪机</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bCs/>
                <w:color w:val="auto"/>
                <w:sz w:val="21"/>
                <w:szCs w:val="21"/>
                <w:highlight w:val="none"/>
              </w:rPr>
              <w:t xml:space="preserve">▲1、</w:t>
            </w:r>
            <w:r>
              <w:rPr>
                <w:rFonts w:hint="eastAsia"/>
                <w:color w:val="auto"/>
                <w:sz w:val="21"/>
                <w:szCs w:val="21"/>
                <w:highlight w:val="none"/>
              </w:rPr>
              <w:t xml:space="preserve">动力系统：40V锂电无刷电机，一充两电配置（4.0Ah电池包×2），无需停机换电</w:t>
            </w:r>
            <w:r/>
          </w:p>
          <w:p>
            <w:pPr>
              <w:contextualSpacing/>
              <w:rPr>
                <w:color w:val="auto"/>
                <w:sz w:val="21"/>
                <w:szCs w:val="21"/>
                <w:highlight w:val="none"/>
              </w:rPr>
            </w:pPr>
            <w:r>
              <w:rPr>
                <w:rFonts w:hint="eastAsia"/>
                <w:color w:val="auto"/>
                <w:sz w:val="21"/>
                <w:szCs w:val="21"/>
                <w:highlight w:val="none"/>
              </w:rPr>
              <w:t xml:space="preserve">2、刀片参数：双刃往复式激光切割刀片，刀片长度≥600mm，切割直径≥20mm</w:t>
            </w:r>
            <w:r/>
          </w:p>
          <w:p>
            <w:pPr>
              <w:contextualSpacing/>
              <w:rPr>
                <w:color w:val="auto"/>
                <w:sz w:val="21"/>
                <w:szCs w:val="21"/>
                <w:highlight w:val="none"/>
              </w:rPr>
            </w:pPr>
            <w:r>
              <w:rPr>
                <w:rFonts w:hint="eastAsia"/>
                <w:color w:val="auto"/>
                <w:sz w:val="21"/>
                <w:szCs w:val="21"/>
                <w:highlight w:val="none"/>
              </w:rPr>
              <w:t xml:space="preserve">3、智能设计：旋转手柄支持±90度调节，具备防卡死反转功能，安全双开关启动</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3</w:t>
            </w:r>
            <w:r>
              <w:rPr>
                <w:color w:val="auto"/>
                <w:highlight w:val="none"/>
              </w:rPr>
              <w:t xml:space="preserve">6</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手持叶绿素测定仪</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1、测量指标：快速无损测量叶绿素相对含量(SPAD)、叶面温度、氮素含量，三合一</w:t>
            </w:r>
            <w:r/>
          </w:p>
          <w:p>
            <w:pPr>
              <w:contextualSpacing/>
              <w:rPr>
                <w:color w:val="auto"/>
                <w:sz w:val="21"/>
                <w:szCs w:val="21"/>
                <w:highlight w:val="none"/>
              </w:rPr>
            </w:pPr>
            <w:r>
              <w:rPr>
                <w:rFonts w:hint="eastAsia"/>
                <w:color w:val="auto"/>
                <w:sz w:val="21"/>
                <w:szCs w:val="21"/>
                <w:highlight w:val="none"/>
              </w:rPr>
              <w:t xml:space="preserve">2、测量精度：SPAD精度±1.0 SPAD，温度精度±0.5℃</w:t>
            </w:r>
            <w:r/>
          </w:p>
          <w:p>
            <w:pPr>
              <w:contextualSpacing/>
              <w:rPr>
                <w:color w:val="auto"/>
                <w:sz w:val="21"/>
                <w:szCs w:val="21"/>
                <w:highlight w:val="none"/>
              </w:rPr>
            </w:pPr>
            <w:r>
              <w:rPr>
                <w:rFonts w:hint="eastAsia"/>
                <w:bCs/>
                <w:color w:val="auto"/>
                <w:sz w:val="21"/>
                <w:szCs w:val="21"/>
                <w:highlight w:val="none"/>
              </w:rPr>
              <w:t xml:space="preserve">▲3、</w:t>
            </w:r>
            <w:r>
              <w:rPr>
                <w:rFonts w:hint="eastAsia"/>
                <w:color w:val="auto"/>
                <w:sz w:val="21"/>
                <w:szCs w:val="21"/>
                <w:highlight w:val="none"/>
              </w:rPr>
              <w:t xml:space="preserve">数据功能：内置SD卡存储，支持趋势图查看，可USB导出数据至PC端分析</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3</w:t>
            </w:r>
            <w:r>
              <w:rPr>
                <w:color w:val="auto"/>
                <w:highlight w:val="none"/>
              </w:rPr>
              <w:t xml:space="preserve">7</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光照计</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1、光谱分析：手持式光谱照度计，支持照度(Lux)、色温(CCT)、显色指数(Ra)及光谱波形显示</w:t>
            </w:r>
            <w:r/>
          </w:p>
          <w:p>
            <w:pPr>
              <w:contextualSpacing/>
              <w:rPr>
                <w:color w:val="auto"/>
                <w:sz w:val="21"/>
                <w:szCs w:val="21"/>
                <w:highlight w:val="none"/>
              </w:rPr>
            </w:pPr>
            <w:r>
              <w:rPr>
                <w:rFonts w:hint="eastAsia"/>
                <w:color w:val="auto"/>
                <w:sz w:val="21"/>
                <w:szCs w:val="21"/>
                <w:highlight w:val="none"/>
              </w:rPr>
              <w:t xml:space="preserve">2、量程：0.1~200000 Lux，自动量程切换</w:t>
            </w:r>
            <w:r/>
          </w:p>
          <w:p>
            <w:pPr>
              <w:contextualSpacing/>
              <w:rPr>
                <w:color w:val="auto"/>
                <w:sz w:val="21"/>
                <w:szCs w:val="21"/>
                <w:highlight w:val="none"/>
              </w:rPr>
            </w:pPr>
            <w:r>
              <w:rPr>
                <w:rFonts w:hint="eastAsia"/>
                <w:bCs/>
                <w:color w:val="auto"/>
                <w:sz w:val="21"/>
                <w:szCs w:val="21"/>
                <w:highlight w:val="none"/>
              </w:rPr>
              <w:t xml:space="preserve">▲3、</w:t>
            </w:r>
            <w:r>
              <w:rPr>
                <w:rFonts w:hint="eastAsia"/>
                <w:color w:val="auto"/>
                <w:sz w:val="21"/>
                <w:szCs w:val="21"/>
                <w:highlight w:val="none"/>
              </w:rPr>
              <w:t xml:space="preserve">交互功能：彩色触控屏，支持蓝牙连接手机APP，实时记录光照变化曲线</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3</w:t>
            </w:r>
            <w:r>
              <w:rPr>
                <w:color w:val="auto"/>
                <w:highlight w:val="none"/>
              </w:rPr>
              <w:t xml:space="preserve">8</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电子温度计</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bCs/>
                <w:color w:val="auto"/>
                <w:sz w:val="21"/>
                <w:szCs w:val="21"/>
                <w:highlight w:val="none"/>
              </w:rPr>
              <w:t xml:space="preserve">▲1、</w:t>
            </w:r>
            <w:r>
              <w:rPr>
                <w:rFonts w:hint="eastAsia"/>
                <w:color w:val="auto"/>
                <w:sz w:val="21"/>
                <w:szCs w:val="21"/>
                <w:highlight w:val="none"/>
              </w:rPr>
              <w:t xml:space="preserve">通讯方式：支持 4G全网通/NB-IoT 双模，数据可上传云平台，无需本地网关，无距离限制</w:t>
            </w:r>
            <w:r/>
          </w:p>
          <w:p>
            <w:pPr>
              <w:contextualSpacing/>
              <w:rPr>
                <w:color w:val="auto"/>
                <w:sz w:val="21"/>
                <w:szCs w:val="21"/>
                <w:highlight w:val="none"/>
              </w:rPr>
            </w:pPr>
            <w:r>
              <w:rPr>
                <w:rFonts w:hint="eastAsia"/>
                <w:color w:val="auto"/>
                <w:sz w:val="21"/>
                <w:szCs w:val="21"/>
                <w:highlight w:val="none"/>
              </w:rPr>
              <w:t xml:space="preserve">2、四重报警：本地声光 + 手机APP + 微信推送 + 短信，四通道同步告警，不漏报</w:t>
            </w:r>
            <w:r/>
          </w:p>
          <w:p>
            <w:pPr>
              <w:contextualSpacing/>
              <w:rPr>
                <w:color w:val="auto"/>
                <w:sz w:val="21"/>
                <w:szCs w:val="21"/>
                <w:highlight w:val="none"/>
              </w:rPr>
            </w:pPr>
            <w:r>
              <w:rPr>
                <w:rFonts w:hint="eastAsia"/>
                <w:color w:val="auto"/>
                <w:sz w:val="21"/>
                <w:szCs w:val="21"/>
                <w:highlight w:val="none"/>
              </w:rPr>
              <w:t xml:space="preserve">3、断电存储：内置断电存储功能，支持不少于2万条历史数据记录导出</w:t>
            </w:r>
            <w:r/>
          </w:p>
          <w:p>
            <w:pPr>
              <w:contextualSpacing/>
              <w:rPr>
                <w:b/>
                <w:bCs/>
                <w:color w:val="auto"/>
                <w:sz w:val="21"/>
                <w:szCs w:val="21"/>
                <w:highlight w:val="none"/>
              </w:rPr>
            </w:pPr>
            <w:r>
              <w:rPr>
                <w:rFonts w:hint="eastAsia"/>
                <w:color w:val="auto"/>
                <w:sz w:val="21"/>
                <w:szCs w:val="21"/>
                <w:highlight w:val="none"/>
              </w:rPr>
              <w:t xml:space="preserve">4、安装：壁挂/桌置两用，≥防护等级IP54，适合温室及保鲜库环境</w:t>
            </w:r>
            <w:r/>
          </w:p>
        </w:tc>
      </w:tr>
      <w:tr>
        <w:trPr>
          <w:trHeight w:val="90"/>
        </w:trPr>
        <w:tc>
          <w:tcPr>
            <w:tcW w:w="704" w:type="dxa"/>
            <w:vAlign w:val="center"/>
            <w:textDirection w:val="lrTb"/>
            <w:noWrap w:val="false"/>
          </w:tcPr>
          <w:p>
            <w:pPr>
              <w:pStyle w:val="860"/>
              <w:ind w:left="0" w:firstLine="110"/>
              <w:rPr>
                <w:color w:val="auto"/>
                <w:highlight w:val="none"/>
              </w:rPr>
            </w:pPr>
            <w:r>
              <w:rPr>
                <w:rFonts w:hint="eastAsia"/>
                <w:b w:val="0"/>
                <w:bCs w:val="0"/>
                <w:color w:val="auto"/>
                <w:sz w:val="22"/>
                <w:szCs w:val="22"/>
                <w:highlight w:val="none"/>
              </w:rPr>
              <w:t xml:space="preserve">3</w:t>
            </w:r>
            <w:r>
              <w:rPr>
                <w:b w:val="0"/>
                <w:bCs w:val="0"/>
                <w:color w:val="auto"/>
                <w:sz w:val="22"/>
                <w:szCs w:val="22"/>
                <w:highlight w:val="none"/>
              </w:rPr>
              <w:t xml:space="preserve">9</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温度风量风速仪</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1、探头设计：伸缩式热敏风速探头（可延伸至1米），适合狭小空间及高处测量</w:t>
            </w:r>
            <w:r/>
          </w:p>
          <w:p>
            <w:pPr>
              <w:contextualSpacing/>
              <w:rPr>
                <w:color w:val="auto"/>
                <w:sz w:val="21"/>
                <w:szCs w:val="21"/>
                <w:highlight w:val="none"/>
              </w:rPr>
            </w:pPr>
            <w:r>
              <w:rPr>
                <w:rFonts w:hint="eastAsia"/>
                <w:color w:val="auto"/>
                <w:sz w:val="21"/>
                <w:szCs w:val="21"/>
                <w:highlight w:val="none"/>
              </w:rPr>
              <w:t xml:space="preserve">2、测量参数：风速(0-30m/s)、风温(-20~70℃)、风量(CMM/CMS)，三参数同步</w:t>
            </w:r>
            <w:r/>
          </w:p>
          <w:p>
            <w:pPr>
              <w:contextualSpacing/>
              <w:rPr>
                <w:color w:val="auto"/>
                <w:sz w:val="21"/>
                <w:szCs w:val="21"/>
                <w:highlight w:val="none"/>
              </w:rPr>
            </w:pPr>
            <w:r>
              <w:rPr>
                <w:rFonts w:hint="eastAsia"/>
                <w:bCs/>
                <w:color w:val="auto"/>
                <w:sz w:val="21"/>
                <w:szCs w:val="21"/>
                <w:highlight w:val="none"/>
              </w:rPr>
              <w:t xml:space="preserve">▲3、</w:t>
            </w:r>
            <w:r>
              <w:rPr>
                <w:rFonts w:hint="eastAsia"/>
                <w:color w:val="auto"/>
                <w:sz w:val="21"/>
                <w:szCs w:val="21"/>
                <w:highlight w:val="none"/>
              </w:rPr>
              <w:t xml:space="preserve">数据处理：支持最大/最小值保持，USB数据传输至电脑软件分析</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4</w:t>
            </w:r>
            <w:r>
              <w:rPr>
                <w:color w:val="auto"/>
                <w:highlight w:val="none"/>
              </w:rPr>
              <w:t xml:space="preserve">0</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土壤水分探测仪</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1、多参数速测：手持式主机+FDR传感器，同步检测含水率、盐分(EC)、温度、氮磷钾</w:t>
            </w:r>
            <w:r/>
          </w:p>
          <w:p>
            <w:pPr>
              <w:contextualSpacing/>
              <w:rPr>
                <w:color w:val="auto"/>
                <w:sz w:val="21"/>
                <w:szCs w:val="21"/>
                <w:highlight w:val="none"/>
              </w:rPr>
            </w:pPr>
            <w:r>
              <w:rPr>
                <w:rFonts w:hint="eastAsia"/>
                <w:color w:val="auto"/>
                <w:sz w:val="21"/>
                <w:szCs w:val="21"/>
                <w:highlight w:val="none"/>
              </w:rPr>
              <w:t xml:space="preserve">2、探针材质：316L医用级不锈钢探针，耐酸碱腐蚀，响应时间&lt;1s</w:t>
            </w:r>
            <w:r/>
          </w:p>
          <w:p>
            <w:pPr>
              <w:contextualSpacing/>
              <w:rPr>
                <w:color w:val="auto"/>
                <w:sz w:val="21"/>
                <w:szCs w:val="21"/>
                <w:highlight w:val="none"/>
              </w:rPr>
            </w:pPr>
            <w:r>
              <w:rPr>
                <w:rFonts w:hint="eastAsia"/>
                <w:color w:val="auto"/>
                <w:sz w:val="21"/>
                <w:szCs w:val="21"/>
                <w:highlight w:val="none"/>
              </w:rPr>
              <w:t xml:space="preserve">3、适用场景：适用于大棚、盐碱地改良实训，LCD背光屏直接读数</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4</w:t>
            </w:r>
            <w:r>
              <w:rPr>
                <w:color w:val="auto"/>
                <w:highlight w:val="none"/>
              </w:rPr>
              <w:t xml:space="preserve">1</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便携式叶面积仪</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1、测量方式：手持扫描式，不损伤叶片即可测量叶片长、宽、面积</w:t>
            </w:r>
            <w:r/>
          </w:p>
          <w:p>
            <w:pPr>
              <w:contextualSpacing/>
              <w:rPr>
                <w:color w:val="auto"/>
                <w:sz w:val="21"/>
                <w:szCs w:val="21"/>
                <w:highlight w:val="none"/>
              </w:rPr>
            </w:pPr>
            <w:r>
              <w:rPr>
                <w:rFonts w:hint="eastAsia"/>
                <w:color w:val="auto"/>
                <w:sz w:val="21"/>
                <w:szCs w:val="21"/>
                <w:highlight w:val="none"/>
              </w:rPr>
              <w:t xml:space="preserve">2、参数指标：测量长度0-3000mm，宽度0-200mm，面积精度±2%</w:t>
            </w:r>
            <w:r/>
          </w:p>
          <w:p>
            <w:pPr>
              <w:contextualSpacing/>
              <w:rPr>
                <w:color w:val="auto"/>
                <w:sz w:val="21"/>
                <w:szCs w:val="21"/>
                <w:highlight w:val="none"/>
              </w:rPr>
            </w:pPr>
            <w:r>
              <w:rPr>
                <w:rFonts w:hint="eastAsia"/>
                <w:color w:val="auto"/>
                <w:sz w:val="21"/>
                <w:szCs w:val="21"/>
                <w:highlight w:val="none"/>
              </w:rPr>
              <w:t xml:space="preserve">▲3、系统功能：主机自带大屏幕显示叶片轮廓，支持数据存储与USB导出</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4</w:t>
            </w:r>
            <w:r>
              <w:rPr>
                <w:color w:val="auto"/>
                <w:highlight w:val="none"/>
              </w:rPr>
              <w:t xml:space="preserve">2</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植物人工气候培养箱</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bCs/>
                <w:color w:val="auto"/>
                <w:sz w:val="21"/>
                <w:szCs w:val="21"/>
                <w:highlight w:val="none"/>
              </w:rPr>
              <w:t xml:space="preserve">1、</w:t>
            </w:r>
            <w:r>
              <w:rPr>
                <w:rFonts w:hint="eastAsia"/>
                <w:color w:val="auto"/>
                <w:sz w:val="21"/>
                <w:szCs w:val="21"/>
                <w:highlight w:val="none"/>
              </w:rPr>
              <w:t xml:space="preserve">容积与结构：容积≥300L，立式设计，镜面不锈钢内胆，四角半圆弧设计易清洁，玻璃视窗加热防雾</w:t>
            </w:r>
            <w:r/>
          </w:p>
          <w:p>
            <w:pPr>
              <w:contextualSpacing/>
              <w:rPr>
                <w:color w:val="auto"/>
                <w:sz w:val="21"/>
                <w:szCs w:val="21"/>
                <w:highlight w:val="none"/>
              </w:rPr>
            </w:pPr>
            <w:r>
              <w:rPr>
                <w:rFonts w:hint="eastAsia"/>
                <w:color w:val="auto"/>
                <w:sz w:val="21"/>
                <w:szCs w:val="21"/>
                <w:highlight w:val="none"/>
              </w:rPr>
              <w:t xml:space="preserve">▲2、温控精度：控温范围 0-50℃，温度波动度≤±0.5℃，温度均匀度≤±1℃</w:t>
            </w:r>
            <w:r/>
          </w:p>
          <w:p>
            <w:pPr>
              <w:contextualSpacing/>
              <w:rPr>
                <w:color w:val="auto"/>
                <w:sz w:val="21"/>
                <w:szCs w:val="21"/>
                <w:highlight w:val="none"/>
              </w:rPr>
            </w:pPr>
            <w:r>
              <w:rPr>
                <w:rFonts w:hint="eastAsia"/>
                <w:color w:val="auto"/>
                <w:sz w:val="21"/>
                <w:szCs w:val="21"/>
                <w:highlight w:val="none"/>
              </w:rPr>
              <w:t xml:space="preserve">3、编程控制：具备 30段99周期 可编程控制，可模拟复杂昼夜/季节变化，断电记忆功能</w:t>
            </w:r>
            <w:r/>
          </w:p>
          <w:p>
            <w:pPr>
              <w:contextualSpacing/>
              <w:rPr>
                <w:color w:val="auto"/>
                <w:sz w:val="21"/>
                <w:szCs w:val="21"/>
                <w:highlight w:val="none"/>
              </w:rPr>
            </w:pPr>
            <w:r>
              <w:rPr>
                <w:rFonts w:hint="eastAsia"/>
                <w:color w:val="auto"/>
                <w:sz w:val="21"/>
                <w:szCs w:val="21"/>
                <w:highlight w:val="none"/>
              </w:rPr>
              <w:t xml:space="preserve">4、光照控制：光照度 0-30000 Lux 五级可调，采用适合植物光合作用的冷光源LED，光线均匀无死角</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4</w:t>
            </w:r>
            <w:r>
              <w:rPr>
                <w:color w:val="auto"/>
                <w:highlight w:val="none"/>
              </w:rPr>
              <w:t xml:space="preserve">3</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植物人工气候培养箱（智能温控种子</w:t>
            </w:r>
            <w:r/>
          </w:p>
          <w:p>
            <w:pPr>
              <w:jc w:val="center"/>
              <w:rPr>
                <w:color w:val="auto"/>
                <w:highlight w:val="none"/>
              </w:rPr>
            </w:pPr>
            <w:r>
              <w:rPr>
                <w:rFonts w:hint="eastAsia"/>
                <w:color w:val="auto"/>
                <w:highlight w:val="none"/>
              </w:rPr>
              <w:t xml:space="preserve">发芽箱）</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1、专用设计：专为种子发芽实训设计，容积≥150L</w:t>
            </w:r>
            <w:r/>
          </w:p>
          <w:p>
            <w:pPr>
              <w:contextualSpacing/>
              <w:rPr>
                <w:color w:val="auto"/>
                <w:sz w:val="21"/>
                <w:szCs w:val="21"/>
                <w:highlight w:val="none"/>
              </w:rPr>
            </w:pPr>
            <w:r>
              <w:rPr>
                <w:rFonts w:hint="eastAsia"/>
                <w:color w:val="auto"/>
                <w:sz w:val="21"/>
                <w:szCs w:val="21"/>
                <w:highlight w:val="none"/>
              </w:rPr>
              <w:t xml:space="preserve">▲2、温控精度：±0.5℃，温度波动度&lt;±1.0℃，满足国标发芽试验要求</w:t>
            </w:r>
            <w:r/>
          </w:p>
          <w:p>
            <w:pPr>
              <w:contextualSpacing/>
              <w:rPr>
                <w:color w:val="auto"/>
                <w:sz w:val="21"/>
                <w:szCs w:val="21"/>
                <w:highlight w:val="none"/>
              </w:rPr>
            </w:pPr>
            <w:r>
              <w:rPr>
                <w:rFonts w:hint="eastAsia"/>
                <w:color w:val="auto"/>
                <w:sz w:val="21"/>
                <w:szCs w:val="21"/>
                <w:highlight w:val="none"/>
              </w:rPr>
              <w:t xml:space="preserve">3、光照系统：内置三面光照系统，模拟自然光周期，适合四季通用教学</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4</w:t>
            </w:r>
            <w:r>
              <w:rPr>
                <w:color w:val="auto"/>
                <w:highlight w:val="none"/>
              </w:rPr>
              <w:t xml:space="preserve">4</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便携式电动打草机</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▲1、轻量化：整机重量≤3kg，前置电机设计，重心平衡，操控灵活</w:t>
            </w:r>
            <w:r/>
          </w:p>
          <w:p>
            <w:pPr>
              <w:contextualSpacing/>
              <w:rPr>
                <w:color w:val="auto"/>
                <w:sz w:val="21"/>
                <w:szCs w:val="21"/>
                <w:highlight w:val="none"/>
              </w:rPr>
            </w:pPr>
            <w:r>
              <w:rPr>
                <w:rFonts w:hint="eastAsia"/>
                <w:color w:val="auto"/>
                <w:sz w:val="21"/>
                <w:szCs w:val="21"/>
                <w:highlight w:val="none"/>
              </w:rPr>
              <w:t xml:space="preserve">2、动力系统：48V锂电池供电，一充两电配置，单电续航≥60分钟</w:t>
            </w:r>
            <w:r/>
          </w:p>
          <w:p>
            <w:pPr>
              <w:contextualSpacing/>
              <w:rPr>
                <w:color w:val="auto"/>
                <w:sz w:val="21"/>
                <w:szCs w:val="21"/>
                <w:highlight w:val="none"/>
              </w:rPr>
            </w:pPr>
            <w:r>
              <w:rPr>
                <w:rFonts w:hint="eastAsia"/>
                <w:color w:val="auto"/>
                <w:sz w:val="21"/>
                <w:szCs w:val="21"/>
                <w:highlight w:val="none"/>
              </w:rPr>
              <w:t xml:space="preserve">3、切割系统：双线尼龙打草头，切割宽度≥300mm，适用草坪修边</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4</w:t>
            </w:r>
            <w:r>
              <w:rPr>
                <w:color w:val="auto"/>
                <w:highlight w:val="none"/>
              </w:rPr>
              <w:t xml:space="preserve">5</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电动嫁接机</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1、切削效率：全自动电动切削，嫁接速度比人工提升3-5倍</w:t>
            </w:r>
            <w:r/>
          </w:p>
          <w:p>
            <w:pPr>
              <w:contextualSpacing/>
              <w:rPr>
                <w:color w:val="auto"/>
                <w:sz w:val="21"/>
                <w:szCs w:val="21"/>
                <w:highlight w:val="none"/>
              </w:rPr>
            </w:pPr>
            <w:r>
              <w:rPr>
                <w:rFonts w:hint="eastAsia"/>
                <w:color w:val="auto"/>
                <w:sz w:val="21"/>
                <w:szCs w:val="21"/>
                <w:highlight w:val="none"/>
              </w:rPr>
              <w:t xml:space="preserve">2、刀片系统：SK5高碳钢刀片，配备V型、Ω型可换刀片，切口平滑，成活率高</w:t>
            </w:r>
            <w:r/>
          </w:p>
          <w:p>
            <w:pPr>
              <w:contextualSpacing/>
              <w:rPr>
                <w:color w:val="auto"/>
                <w:sz w:val="21"/>
                <w:szCs w:val="21"/>
                <w:highlight w:val="none"/>
              </w:rPr>
            </w:pPr>
            <w:r>
              <w:rPr>
                <w:rFonts w:hint="eastAsia"/>
                <w:color w:val="auto"/>
                <w:sz w:val="21"/>
                <w:szCs w:val="21"/>
                <w:highlight w:val="none"/>
              </w:rPr>
              <w:t xml:space="preserve">▲续航：内置锂电池，单次充电可连续工作8小时以上</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4</w:t>
            </w:r>
            <w:r>
              <w:rPr>
                <w:color w:val="auto"/>
                <w:highlight w:val="none"/>
              </w:rPr>
              <w:t xml:space="preserve">6</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光学显微镜及切片</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 目镜：高眼点广角目镜WF10X/22MM 屈光调节＋5 *2 </w:t>
            </w:r>
            <w:r/>
          </w:p>
          <w:p>
            <w:pPr>
              <w:contextualSpacing/>
              <w:rPr>
                <w:color w:val="auto"/>
                <w:sz w:val="21"/>
                <w:szCs w:val="21"/>
                <w:highlight w:val="none"/>
              </w:rPr>
            </w:pPr>
            <w:r>
              <w:rPr>
                <w:rFonts w:hint="eastAsia"/>
                <w:color w:val="auto"/>
                <w:sz w:val="21"/>
                <w:szCs w:val="21"/>
                <w:highlight w:val="none"/>
              </w:rPr>
              <w:t xml:space="preserve">2. 物镜:无限远平场消色差物镜:∞4X/0.1,∞10X/0.25,∞40X(S)/0.65,∞100X(S)/1.25</w:t>
            </w:r>
            <w:r/>
          </w:p>
          <w:p>
            <w:pPr>
              <w:contextualSpacing/>
              <w:rPr>
                <w:color w:val="auto"/>
                <w:sz w:val="21"/>
                <w:szCs w:val="21"/>
                <w:highlight w:val="none"/>
              </w:rPr>
            </w:pPr>
            <w:r>
              <w:rPr>
                <w:rFonts w:hint="eastAsia"/>
                <w:color w:val="auto"/>
                <w:sz w:val="21"/>
                <w:szCs w:val="21"/>
                <w:highlight w:val="none"/>
              </w:rPr>
              <w:t xml:space="preserve">3. 目镜筒:三目铰链式观察筒，30°倾斜，360旋转</w:t>
            </w:r>
            <w:r/>
          </w:p>
          <w:p>
            <w:pPr>
              <w:contextualSpacing/>
              <w:rPr>
                <w:color w:val="auto"/>
                <w:sz w:val="21"/>
                <w:szCs w:val="21"/>
                <w:highlight w:val="none"/>
              </w:rPr>
            </w:pPr>
            <w:r>
              <w:rPr>
                <w:rFonts w:hint="eastAsia"/>
                <w:color w:val="auto"/>
                <w:sz w:val="21"/>
                <w:szCs w:val="21"/>
                <w:highlight w:val="none"/>
              </w:rPr>
              <w:t xml:space="preserve">4. 相机:1200万像素</w:t>
            </w:r>
            <w:r/>
          </w:p>
          <w:p>
            <w:pPr>
              <w:contextualSpacing/>
              <w:rPr>
                <w:color w:val="auto"/>
                <w:sz w:val="21"/>
                <w:szCs w:val="21"/>
                <w:highlight w:val="none"/>
              </w:rPr>
            </w:pPr>
            <w:r>
              <w:rPr>
                <w:rFonts w:hint="eastAsia"/>
                <w:color w:val="auto"/>
                <w:sz w:val="21"/>
                <w:szCs w:val="21"/>
                <w:highlight w:val="none"/>
              </w:rPr>
              <w:t xml:space="preserve">5. 调焦系统:同轴粗微调焦机构，微调格值0.02MM</w:t>
            </w:r>
            <w:r/>
          </w:p>
          <w:p>
            <w:pPr>
              <w:contextualSpacing/>
              <w:rPr>
                <w:color w:val="auto"/>
                <w:sz w:val="21"/>
                <w:szCs w:val="21"/>
                <w:highlight w:val="none"/>
              </w:rPr>
            </w:pPr>
            <w:r>
              <w:rPr>
                <w:rFonts w:hint="eastAsia"/>
                <w:color w:val="auto"/>
                <w:sz w:val="21"/>
                <w:szCs w:val="21"/>
                <w:highlight w:val="none"/>
              </w:rPr>
              <w:t xml:space="preserve">6. 载物台:220X148MM低手位双层X轴钢丝传动机械移动平台，行程76X50MM,精度0.1MM，阻尼式双切片夹</w:t>
            </w:r>
            <w:r/>
          </w:p>
          <w:p>
            <w:pPr>
              <w:contextualSpacing/>
              <w:rPr>
                <w:color w:val="auto"/>
                <w:sz w:val="21"/>
                <w:szCs w:val="21"/>
                <w:highlight w:val="none"/>
              </w:rPr>
            </w:pPr>
            <w:r>
              <w:rPr>
                <w:rFonts w:hint="eastAsia"/>
                <w:color w:val="auto"/>
                <w:sz w:val="21"/>
                <w:szCs w:val="21"/>
                <w:highlight w:val="none"/>
              </w:rPr>
              <w:t xml:space="preserve">7. 电光源:3W LED灯亮度连续可调光阑 科勒照明系统</w:t>
            </w:r>
            <w:r/>
          </w:p>
          <w:p>
            <w:pPr>
              <w:contextualSpacing/>
              <w:rPr>
                <w:color w:val="auto"/>
                <w:sz w:val="21"/>
                <w:szCs w:val="21"/>
                <w:highlight w:val="none"/>
              </w:rPr>
            </w:pPr>
            <w:r>
              <w:rPr>
                <w:rFonts w:hint="eastAsia"/>
                <w:color w:val="auto"/>
                <w:sz w:val="21"/>
                <w:szCs w:val="21"/>
                <w:highlight w:val="none"/>
              </w:rPr>
              <w:t xml:space="preserve">8. 聚光镜:NA1.2.5阿贝聚光镜组(可带插板式的相衬、暗场、偏光附件接口)</w:t>
            </w:r>
            <w:r/>
          </w:p>
          <w:p>
            <w:pPr>
              <w:contextualSpacing/>
              <w:rPr>
                <w:color w:val="auto"/>
                <w:sz w:val="21"/>
                <w:szCs w:val="21"/>
                <w:highlight w:val="none"/>
              </w:rPr>
            </w:pPr>
            <w:r>
              <w:rPr>
                <w:rFonts w:hint="eastAsia"/>
                <w:color w:val="auto"/>
                <w:sz w:val="21"/>
                <w:szCs w:val="21"/>
                <w:highlight w:val="none"/>
              </w:rPr>
              <w:t xml:space="preserve">9. 调焦机构:粗微动同轴机构，调焦范围20MM，微调格值0.015MM</w:t>
            </w:r>
            <w:r/>
          </w:p>
          <w:p>
            <w:pPr>
              <w:contextualSpacing/>
              <w:rPr>
                <w:color w:val="auto"/>
                <w:sz w:val="21"/>
                <w:szCs w:val="21"/>
                <w:highlight w:val="none"/>
              </w:rPr>
            </w:pPr>
            <w:r>
              <w:rPr>
                <w:rFonts w:hint="eastAsia"/>
                <w:color w:val="auto"/>
                <w:sz w:val="21"/>
                <w:szCs w:val="21"/>
                <w:highlight w:val="none"/>
              </w:rPr>
              <w:t xml:space="preserve">10. 电子目镜:1200万像素（USB接电脑）</w:t>
            </w:r>
            <w:r/>
          </w:p>
          <w:p>
            <w:pPr>
              <w:contextualSpacing/>
              <w:rPr>
                <w:color w:val="auto"/>
                <w:sz w:val="21"/>
                <w:szCs w:val="21"/>
                <w:highlight w:val="none"/>
              </w:rPr>
            </w:pPr>
            <w:r>
              <w:rPr>
                <w:rFonts w:hint="eastAsia"/>
                <w:color w:val="auto"/>
                <w:sz w:val="21"/>
                <w:szCs w:val="21"/>
                <w:highlight w:val="none"/>
              </w:rPr>
              <w:t xml:space="preserve">11. 电源:AC 220V</w:t>
            </w:r>
            <w:r/>
          </w:p>
          <w:p>
            <w:pPr>
              <w:contextualSpacing/>
              <w:rPr>
                <w:color w:val="auto"/>
                <w:sz w:val="21"/>
                <w:szCs w:val="21"/>
                <w:highlight w:val="none"/>
              </w:rPr>
            </w:pPr>
            <w:r>
              <w:rPr>
                <w:rFonts w:hint="eastAsia"/>
                <w:color w:val="auto"/>
                <w:sz w:val="21"/>
                <w:szCs w:val="21"/>
                <w:highlight w:val="none"/>
              </w:rPr>
              <w:t xml:space="preserve">12. 包装：金属箱</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4</w:t>
            </w:r>
            <w:r>
              <w:rPr>
                <w:color w:val="auto"/>
                <w:highlight w:val="none"/>
              </w:rPr>
              <w:t xml:space="preserve">7</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草坪精播机</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1、类型：手推式离心播种机，料斗容量≥40L</w:t>
            </w:r>
            <w:r/>
          </w:p>
          <w:p>
            <w:pPr>
              <w:contextualSpacing/>
              <w:rPr>
                <w:color w:val="auto"/>
                <w:sz w:val="21"/>
                <w:szCs w:val="21"/>
                <w:highlight w:val="none"/>
              </w:rPr>
            </w:pPr>
            <w:r>
              <w:rPr>
                <w:rFonts w:hint="eastAsia"/>
                <w:color w:val="auto"/>
                <w:sz w:val="21"/>
                <w:szCs w:val="21"/>
                <w:highlight w:val="none"/>
              </w:rPr>
              <w:t xml:space="preserve">2、撒播幅宽：3-4米有效撒播宽度，播撒密度无级可调</w:t>
            </w:r>
            <w:r/>
          </w:p>
          <w:p>
            <w:pPr>
              <w:contextualSpacing/>
              <w:rPr>
                <w:color w:val="auto"/>
                <w:sz w:val="21"/>
                <w:szCs w:val="21"/>
                <w:highlight w:val="none"/>
              </w:rPr>
            </w:pPr>
            <w:r>
              <w:rPr>
                <w:rFonts w:hint="eastAsia"/>
                <w:color w:val="auto"/>
                <w:sz w:val="21"/>
                <w:szCs w:val="21"/>
                <w:highlight w:val="none"/>
              </w:rPr>
              <w:t xml:space="preserve">3、轮胎设计：宽面充气轮胎，保护草坪不受压损，耐腐蚀塑料料斗</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4</w:t>
            </w:r>
            <w:r>
              <w:rPr>
                <w:color w:val="auto"/>
                <w:highlight w:val="none"/>
              </w:rPr>
              <w:t xml:space="preserve">8</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草坪修剪机</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bCs/>
                <w:color w:val="auto"/>
                <w:sz w:val="21"/>
                <w:szCs w:val="21"/>
                <w:highlight w:val="none"/>
              </w:rPr>
              <w:t xml:space="preserve">▲1、</w:t>
            </w:r>
            <w:r>
              <w:rPr>
                <w:rFonts w:hint="eastAsia"/>
                <w:color w:val="auto"/>
                <w:sz w:val="21"/>
                <w:szCs w:val="21"/>
                <w:highlight w:val="none"/>
              </w:rPr>
              <w:t xml:space="preserve">双电池续航：40V锂电无刷电机，双电池仓设计，配备两块4.0Ah锂电池，自动切换无间断作业</w:t>
            </w:r>
            <w:r/>
          </w:p>
          <w:p>
            <w:pPr>
              <w:contextualSpacing/>
              <w:rPr>
                <w:color w:val="auto"/>
                <w:sz w:val="21"/>
                <w:szCs w:val="21"/>
                <w:highlight w:val="none"/>
              </w:rPr>
            </w:pPr>
            <w:r>
              <w:rPr>
                <w:rFonts w:hint="eastAsia"/>
                <w:color w:val="auto"/>
                <w:sz w:val="21"/>
                <w:szCs w:val="21"/>
                <w:highlight w:val="none"/>
              </w:rPr>
              <w:t xml:space="preserve">2、切割性能：割幅≥400mm，无刷电机转速≥3500rpm，割草效果均匀整洁</w:t>
            </w:r>
            <w:r/>
          </w:p>
          <w:p>
            <w:pPr>
              <w:contextualSpacing/>
              <w:rPr>
                <w:color w:val="auto"/>
                <w:sz w:val="21"/>
                <w:szCs w:val="21"/>
                <w:highlight w:val="none"/>
              </w:rPr>
            </w:pPr>
            <w:r>
              <w:rPr>
                <w:rFonts w:hint="eastAsia"/>
                <w:color w:val="auto"/>
                <w:sz w:val="21"/>
                <w:szCs w:val="21"/>
                <w:highlight w:val="none"/>
              </w:rPr>
              <w:t xml:space="preserve">3、人性化设计：一键启动、过载保护，集草袋容量≥50L，五档割草高度20-70mm调节</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49</w:t>
            </w:r>
            <w:r/>
          </w:p>
        </w:tc>
        <w:tc>
          <w:tcPr>
            <w:tcW w:w="1701" w:type="dxa"/>
            <w:vAlign w:val="center"/>
            <w:textDirection w:val="lrTb"/>
            <w:noWrap w:val="false"/>
          </w:tcPr>
          <w:p>
            <w:pPr>
              <w:widowControl/>
              <w:rPr>
                <w:color w:val="auto"/>
                <w:highlight w:val="none"/>
                <w:lang w:bidi="ar"/>
              </w:rPr>
            </w:pPr>
            <w:r>
              <w:rPr>
                <w:rFonts w:hint="eastAsia"/>
                <w:color w:val="auto"/>
                <w:highlight w:val="none"/>
              </w:rPr>
              <w:t xml:space="preserve">割草机器人</w:t>
            </w:r>
            <w:r/>
          </w:p>
        </w:tc>
        <w:tc>
          <w:tcPr>
            <w:shd w:val="clear" w:color="auto" w:fill="auto"/>
            <w:tcW w:w="7796" w:type="dxa"/>
            <w:vAlign w:val="center"/>
            <w:textDirection w:val="lrTb"/>
            <w:noWrap w:val="false"/>
          </w:tcPr>
          <w:p>
            <w:pPr>
              <w:contextualSpacing/>
              <w:rPr>
                <w:color w:val="auto"/>
                <w:sz w:val="21"/>
                <w:szCs w:val="21"/>
                <w:highlight w:val="none"/>
              </w:rPr>
            </w:pPr>
            <w:r>
              <w:rPr>
                <w:rFonts w:hint="eastAsia"/>
                <w:color w:val="auto"/>
                <w:sz w:val="21"/>
                <w:szCs w:val="21"/>
                <w:highlight w:val="none"/>
              </w:rPr>
              <w:t xml:space="preserve">1、核心作业能力：爬坡能力 35度，最大作业覆盖面积 2500平方米</w:t>
            </w:r>
            <w:r/>
          </w:p>
          <w:p>
            <w:pPr>
              <w:contextualSpacing/>
              <w:rPr>
                <w:color w:val="auto"/>
                <w:sz w:val="21"/>
                <w:szCs w:val="21"/>
                <w:highlight w:val="none"/>
              </w:rPr>
            </w:pPr>
            <w:r>
              <w:rPr>
                <w:rFonts w:hint="eastAsia"/>
                <w:color w:val="auto"/>
                <w:sz w:val="21"/>
                <w:szCs w:val="21"/>
                <w:highlight w:val="none"/>
              </w:rPr>
              <w:t xml:space="preserve">▲2、智能感知系统：多传感器融合避障，APP构建虚拟边界（无需人工埋设实体线缆），支持WIFI 2.4G/5G连接</w:t>
            </w:r>
            <w:r/>
          </w:p>
          <w:p>
            <w:pPr>
              <w:contextualSpacing/>
              <w:rPr>
                <w:color w:val="auto"/>
                <w:sz w:val="21"/>
                <w:szCs w:val="21"/>
                <w:highlight w:val="none"/>
              </w:rPr>
            </w:pPr>
            <w:r>
              <w:rPr>
                <w:rFonts w:hint="eastAsia"/>
                <w:color w:val="auto"/>
                <w:sz w:val="21"/>
                <w:szCs w:val="21"/>
                <w:highlight w:val="none"/>
              </w:rPr>
              <w:t xml:space="preserve">3、割草参数：割草高度 20-60mm手动五档调整，支持平行割草模式，效率较随机模式提升约40%</w:t>
            </w:r>
            <w:r/>
          </w:p>
          <w:p>
            <w:pPr>
              <w:contextualSpacing/>
              <w:rPr>
                <w:color w:val="auto"/>
                <w:sz w:val="21"/>
                <w:szCs w:val="21"/>
                <w:highlight w:val="none"/>
              </w:rPr>
            </w:pPr>
            <w:r>
              <w:rPr>
                <w:rFonts w:hint="eastAsia"/>
                <w:bCs/>
                <w:color w:val="auto"/>
                <w:sz w:val="21"/>
                <w:szCs w:val="21"/>
                <w:highlight w:val="none"/>
              </w:rPr>
              <w:t xml:space="preserve">▲4、</w:t>
            </w:r>
            <w:r>
              <w:rPr>
                <w:rFonts w:hint="eastAsia"/>
                <w:color w:val="auto"/>
                <w:sz w:val="21"/>
                <w:szCs w:val="21"/>
                <w:highlight w:val="none"/>
              </w:rPr>
              <w:t xml:space="preserve">续航与回充：续航时间≥3.5小时，低电量自动识别并回充至基站，雨天自动返回基站</w:t>
            </w:r>
            <w:r/>
          </w:p>
          <w:p>
            <w:pPr>
              <w:contextualSpacing/>
              <w:rPr>
                <w:color w:val="auto"/>
                <w:sz w:val="21"/>
                <w:szCs w:val="21"/>
                <w:highlight w:val="none"/>
              </w:rPr>
            </w:pPr>
            <w:r>
              <w:rPr>
                <w:rFonts w:hint="eastAsia"/>
                <w:color w:val="auto"/>
                <w:sz w:val="21"/>
                <w:szCs w:val="21"/>
                <w:highlight w:val="none"/>
              </w:rPr>
              <w:t xml:space="preserve">5、防护等级：整机≥ IPX4 防水，基站需220V供电（须配备户外防水电源插座）</w:t>
            </w:r>
            <w:r/>
          </w:p>
          <w:p>
            <w:pPr>
              <w:contextualSpacing/>
              <w:rPr>
                <w:color w:val="auto"/>
                <w:sz w:val="21"/>
                <w:szCs w:val="21"/>
                <w:highlight w:val="none"/>
              </w:rPr>
            </w:pPr>
            <w:r>
              <w:rPr>
                <w:rFonts w:hint="eastAsia"/>
                <w:color w:val="auto"/>
                <w:sz w:val="21"/>
                <w:szCs w:val="21"/>
                <w:highlight w:val="none"/>
              </w:rPr>
              <w:t xml:space="preserve">网络依赖：必须具备稳定WIFI信号覆盖方可正常使用（详见网络改造需求）</w:t>
            </w:r>
            <w:r/>
          </w:p>
          <w:p>
            <w:pPr>
              <w:contextualSpacing/>
              <w:rPr>
                <w:color w:val="auto"/>
                <w:sz w:val="21"/>
                <w:szCs w:val="21"/>
                <w:highlight w:val="none"/>
              </w:rPr>
            </w:pPr>
            <w:r>
              <w:rPr>
                <w:rFonts w:hint="eastAsia"/>
                <w:color w:val="auto"/>
                <w:sz w:val="21"/>
                <w:szCs w:val="21"/>
                <w:highlight w:val="none"/>
              </w:rPr>
              <w:t xml:space="preserve">充电基站需持续接220V市电；</w:t>
            </w:r>
            <w:r/>
          </w:p>
          <w:p>
            <w:pPr>
              <w:contextualSpacing/>
              <w:rPr>
                <w:color w:val="auto"/>
                <w:sz w:val="21"/>
                <w:szCs w:val="21"/>
                <w:highlight w:val="none"/>
              </w:rPr>
            </w:pPr>
            <w:r>
              <w:rPr>
                <w:rFonts w:hint="eastAsia"/>
                <w:color w:val="auto"/>
                <w:sz w:val="21"/>
                <w:szCs w:val="21"/>
                <w:highlight w:val="none"/>
              </w:rPr>
              <w:t xml:space="preserve">6、草坪边缘预留 1个≥IP66防水三孔插座（配专用配电箱），回路独立，配空气开关保护。</w:t>
            </w:r>
            <w:r/>
          </w:p>
          <w:p>
            <w:pPr>
              <w:contextualSpacing/>
              <w:rPr>
                <w:strike/>
                <w:color w:val="auto"/>
                <w:sz w:val="21"/>
                <w:szCs w:val="21"/>
                <w:highlight w:val="none"/>
              </w:rPr>
            </w:pPr>
            <w:r>
              <w:rPr>
                <w:rFonts w:hint="eastAsia"/>
                <w:color w:val="auto"/>
                <w:sz w:val="21"/>
                <w:szCs w:val="21"/>
                <w:highlight w:val="none"/>
              </w:rPr>
              <w:t xml:space="preserve">防水插座防护等级须达到 IP66</w:t>
            </w:r>
            <w:r/>
          </w:p>
          <w:p>
            <w:pPr>
              <w:contextualSpacing/>
              <w:rPr>
                <w:color w:val="auto"/>
                <w:sz w:val="21"/>
                <w:szCs w:val="21"/>
                <w:highlight w:val="none"/>
              </w:rPr>
            </w:pPr>
            <w:r>
              <w:rPr>
                <w:rFonts w:hint="eastAsia"/>
                <w:color w:val="auto"/>
                <w:sz w:val="21"/>
                <w:szCs w:val="21"/>
                <w:highlight w:val="none"/>
              </w:rPr>
              <w:t xml:space="preserve">7、网络改造需求（改造费用包含在设备费用内）：</w:t>
            </w:r>
            <w:r/>
          </w:p>
          <w:p>
            <w:pPr>
              <w:contextualSpacing/>
              <w:rPr>
                <w:color w:val="auto"/>
                <w:sz w:val="21"/>
                <w:szCs w:val="21"/>
                <w:highlight w:val="none"/>
              </w:rPr>
            </w:pPr>
            <w:r>
              <w:rPr>
                <w:rFonts w:hint="eastAsia"/>
                <w:color w:val="auto"/>
                <w:sz w:val="21"/>
                <w:szCs w:val="21"/>
                <w:highlight w:val="none"/>
              </w:rPr>
              <w:t xml:space="preserve">7.</w:t>
            </w:r>
            <w:r>
              <w:rPr>
                <w:color w:val="auto"/>
                <w:sz w:val="21"/>
                <w:szCs w:val="21"/>
                <w:highlight w:val="none"/>
              </w:rPr>
              <w:t xml:space="preserve">1</w:t>
            </w:r>
            <w:r>
              <w:rPr>
                <w:rFonts w:hint="eastAsia"/>
                <w:color w:val="auto"/>
                <w:sz w:val="21"/>
                <w:szCs w:val="21"/>
                <w:highlight w:val="none"/>
              </w:rPr>
              <w:t xml:space="preserve">改造要求：在栽培养护实训区（含户外草坪区）部署 ≥2个 室外级高增益防水AP，AP间支持无缝漫游，信号强度在作业区域内 RSSI ≥ -65dBm，确保无信号盲区。</w:t>
            </w:r>
            <w:r/>
          </w:p>
          <w:p>
            <w:pPr>
              <w:contextualSpacing/>
              <w:rPr>
                <w:color w:val="auto"/>
                <w:sz w:val="21"/>
                <w:szCs w:val="21"/>
                <w:highlight w:val="none"/>
              </w:rPr>
            </w:pPr>
            <w:r>
              <w:rPr>
                <w:rFonts w:hint="eastAsia"/>
                <w:color w:val="auto"/>
                <w:sz w:val="21"/>
                <w:szCs w:val="21"/>
                <w:highlight w:val="none"/>
              </w:rPr>
              <w:t xml:space="preserve">7</w:t>
            </w:r>
            <w:r>
              <w:rPr>
                <w:color w:val="auto"/>
                <w:sz w:val="21"/>
                <w:szCs w:val="21"/>
                <w:highlight w:val="none"/>
              </w:rPr>
              <w:t xml:space="preserve">.2</w:t>
            </w:r>
            <w:r>
              <w:rPr>
                <w:rFonts w:hint="eastAsia"/>
                <w:color w:val="auto"/>
                <w:sz w:val="21"/>
                <w:szCs w:val="21"/>
                <w:highlight w:val="none"/>
              </w:rPr>
              <w:t xml:space="preserve">实时可视化展示土壤数据、虫情图像、机器人作业轨迹及气象数据，实现完整数字孪生演示闭环。                                </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5</w:t>
            </w:r>
            <w:r>
              <w:rPr>
                <w:color w:val="auto"/>
                <w:highlight w:val="none"/>
              </w:rPr>
              <w:t xml:space="preserve">0</w:t>
            </w:r>
            <w:r/>
          </w:p>
        </w:tc>
        <w:tc>
          <w:tcPr>
            <w:tcW w:w="1701" w:type="dxa"/>
            <w:vAlign w:val="center"/>
            <w:textDirection w:val="lrTb"/>
            <w:noWrap w:val="false"/>
          </w:tcPr>
          <w:p>
            <w:pPr>
              <w:widowControl/>
              <w:rPr>
                <w:color w:val="auto"/>
                <w:highlight w:val="none"/>
                <w:lang w:bidi="ar"/>
              </w:rPr>
            </w:pPr>
            <w:r>
              <w:rPr>
                <w:rFonts w:hint="eastAsia"/>
                <w:color w:val="auto"/>
                <w:highlight w:val="none"/>
              </w:rPr>
              <w:t xml:space="preserve">病虫害测报灯</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1、执行并优于《GB/T 24689.1-2009》国家测报灯标准</w:t>
            </w:r>
            <w:r/>
          </w:p>
          <w:p>
            <w:pPr>
              <w:pStyle w:val="939"/>
              <w:contextualSpacing/>
              <w:ind w:left="0" w:firstLine="0"/>
              <w:rPr>
                <w:strike/>
                <w:color w:val="auto"/>
                <w:sz w:val="21"/>
                <w:szCs w:val="21"/>
                <w:highlight w:val="none"/>
                <w:lang w:bidi="ar"/>
              </w:rPr>
            </w:pPr>
            <w:r>
              <w:rPr>
                <w:rFonts w:hint="eastAsia"/>
                <w:color w:val="auto"/>
                <w:sz w:val="21"/>
                <w:szCs w:val="21"/>
                <w:highlight w:val="none"/>
                <w:lang w:bidi="ar"/>
              </w:rPr>
              <w:t xml:space="preserve">2、核心构造：透明防雨百叶窗设计（百叶材质全透明），不遮挡诱虫光源，雨天可正常捕虫</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3、图像处理：具备画面分割、白平衡自动处理功能；自带动态补光模组，成像无阴影反光，支持昆虫AI智能识别与计数</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4、杀虫效率：红外杀虫烘干，虫体完整率≥95%，内置虫体分散结构，避免堆叠影响AI识别精度</w:t>
            </w:r>
            <w:r/>
          </w:p>
          <w:p>
            <w:pPr>
              <w:pStyle w:val="939"/>
              <w:contextualSpacing/>
              <w:ind w:left="0" w:firstLine="0"/>
              <w:rPr>
                <w:color w:val="auto"/>
                <w:sz w:val="21"/>
                <w:szCs w:val="21"/>
                <w:highlight w:val="none"/>
                <w:lang w:bidi="ar"/>
              </w:rPr>
            </w:pPr>
            <w:r>
              <w:rPr>
                <w:rFonts w:hint="eastAsia"/>
                <w:color w:val="auto"/>
                <w:sz w:val="21"/>
                <w:szCs w:val="21"/>
                <w:highlight w:val="none"/>
              </w:rPr>
              <w:t xml:space="preserve">▲5、</w:t>
            </w:r>
            <w:r>
              <w:rPr>
                <w:rFonts w:hint="eastAsia"/>
                <w:color w:val="auto"/>
                <w:sz w:val="21"/>
                <w:szCs w:val="21"/>
                <w:highlight w:val="none"/>
                <w:lang w:bidi="ar"/>
              </w:rPr>
              <w:t xml:space="preserve">供电系统：支持太阳能（800W超大功率面板 + 400Ah超大容量蓄电池）/市电 双供电模式，连续阴雨30天可正常工作</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6、安装要求：</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6.</w:t>
            </w:r>
            <w:r>
              <w:rPr>
                <w:color w:val="auto"/>
                <w:sz w:val="21"/>
                <w:szCs w:val="21"/>
                <w:highlight w:val="none"/>
                <w:lang w:bidi="ar"/>
              </w:rPr>
              <w:t xml:space="preserve">1</w:t>
            </w:r>
            <w:r>
              <w:rPr>
                <w:rFonts w:hint="eastAsia"/>
                <w:color w:val="auto"/>
                <w:sz w:val="21"/>
                <w:szCs w:val="21"/>
                <w:highlight w:val="none"/>
                <w:lang w:bidi="ar"/>
              </w:rPr>
              <w:t xml:space="preserve">整灯高度约1.5-2米，需浇筑混凝土基座固定；需预留市电接口作为备用电源。</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6</w:t>
            </w:r>
            <w:r>
              <w:rPr>
                <w:color w:val="auto"/>
                <w:sz w:val="21"/>
                <w:szCs w:val="21"/>
                <w:highlight w:val="none"/>
                <w:lang w:bidi="ar"/>
              </w:rPr>
              <w:t xml:space="preserve">.2</w:t>
            </w:r>
            <w:r>
              <w:rPr>
                <w:rFonts w:hint="eastAsia"/>
                <w:color w:val="auto"/>
                <w:sz w:val="21"/>
                <w:szCs w:val="21"/>
                <w:highlight w:val="none"/>
                <w:lang w:bidi="ar"/>
              </w:rPr>
              <w:t xml:space="preserve">灯体安装处预留 IP66防水市电接口，并就近浇筑 ≥30×30×60cm 混凝土基座固定灯杆，防止风力倾倒。</w:t>
            </w:r>
            <w:r/>
          </w:p>
          <w:p>
            <w:pPr>
              <w:pStyle w:val="939"/>
              <w:contextualSpacing/>
              <w:ind w:left="0" w:firstLine="0"/>
              <w:rPr>
                <w:color w:val="auto"/>
                <w:sz w:val="21"/>
                <w:szCs w:val="21"/>
                <w:highlight w:val="none"/>
                <w:lang w:bidi="ar"/>
              </w:rPr>
            </w:pPr>
            <w:r>
              <w:rPr>
                <w:rFonts w:hint="eastAsia"/>
                <w:bCs/>
                <w:color w:val="auto"/>
                <w:sz w:val="21"/>
                <w:szCs w:val="21"/>
                <w:highlight w:val="none"/>
              </w:rPr>
              <w:t xml:space="preserve">▲6</w:t>
            </w:r>
            <w:r>
              <w:rPr>
                <w:bCs/>
                <w:color w:val="auto"/>
                <w:sz w:val="21"/>
                <w:szCs w:val="21"/>
                <w:highlight w:val="none"/>
              </w:rPr>
              <w:t xml:space="preserve">.3</w:t>
            </w:r>
            <w:r>
              <w:rPr>
                <w:rFonts w:hint="eastAsia"/>
                <w:color w:val="auto"/>
                <w:sz w:val="21"/>
                <w:szCs w:val="21"/>
                <w:highlight w:val="none"/>
                <w:lang w:bidi="ar"/>
              </w:rPr>
              <w:t xml:space="preserve">防水插座防护等级</w:t>
            </w:r>
            <w:r>
              <w:rPr>
                <w:rFonts w:hint="eastAsia"/>
                <w:color w:val="auto"/>
                <w:sz w:val="21"/>
                <w:szCs w:val="21"/>
                <w:highlight w:val="none"/>
              </w:rPr>
              <w:t xml:space="preserve">≥</w:t>
            </w:r>
            <w:r>
              <w:rPr>
                <w:rFonts w:hint="eastAsia"/>
                <w:color w:val="auto"/>
                <w:sz w:val="21"/>
                <w:szCs w:val="21"/>
                <w:highlight w:val="none"/>
                <w:lang w:bidi="ar"/>
              </w:rPr>
              <w:t xml:space="preserve"> IP66</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5</w:t>
            </w:r>
            <w:r>
              <w:rPr>
                <w:color w:val="auto"/>
                <w:highlight w:val="none"/>
              </w:rPr>
              <w:t xml:space="preserve">1</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手持式红外测温仪</w:t>
            </w:r>
            <w:r/>
          </w:p>
        </w:tc>
        <w:tc>
          <w:tcPr>
            <w:shd w:val="clear" w:color="auto" w:fill="auto"/>
            <w:tcW w:w="7796" w:type="dxa"/>
            <w:vAlign w:val="center"/>
            <w:textDirection w:val="lrTb"/>
            <w:noWrap w:val="false"/>
          </w:tcPr>
          <w:p>
            <w:pPr>
              <w:contextualSpacing/>
              <w:rPr>
                <w:strike/>
                <w:color w:val="auto"/>
                <w:sz w:val="21"/>
                <w:szCs w:val="21"/>
                <w:highlight w:val="none"/>
              </w:rPr>
            </w:pPr>
            <w:r>
              <w:rPr>
                <w:rFonts w:hint="eastAsia"/>
                <w:color w:val="auto"/>
                <w:sz w:val="21"/>
                <w:szCs w:val="21"/>
                <w:highlight w:val="none"/>
              </w:rPr>
              <w:t xml:space="preserve">1、测温范围：-50~600℃，响应时间&lt;500ms</w:t>
            </w:r>
            <w:r>
              <w:rPr>
                <w:strike/>
                <w:color w:val="auto"/>
                <w:sz w:val="21"/>
                <w:szCs w:val="21"/>
                <w:highlight w:val="none"/>
              </w:rPr>
              <w:t xml:space="preserve"> </w:t>
            </w:r>
            <w:r/>
          </w:p>
          <w:p>
            <w:pPr>
              <w:contextualSpacing/>
              <w:rPr>
                <w:color w:val="auto"/>
                <w:sz w:val="21"/>
                <w:szCs w:val="21"/>
                <w:highlight w:val="none"/>
              </w:rPr>
            </w:pPr>
            <w:r>
              <w:rPr>
                <w:rFonts w:hint="eastAsia"/>
                <w:color w:val="auto"/>
                <w:sz w:val="21"/>
                <w:szCs w:val="21"/>
                <w:highlight w:val="none"/>
              </w:rPr>
              <w:t xml:space="preserve">2、物距比：12:1，内置激光瞄准点，远距离精准对焦测温</w:t>
            </w:r>
            <w:r/>
          </w:p>
          <w:p>
            <w:pPr>
              <w:contextualSpacing/>
              <w:rPr>
                <w:color w:val="auto"/>
                <w:sz w:val="21"/>
                <w:szCs w:val="21"/>
                <w:highlight w:val="none"/>
              </w:rPr>
            </w:pPr>
            <w:r>
              <w:rPr>
                <w:rFonts w:hint="eastAsia"/>
                <w:color w:val="auto"/>
                <w:sz w:val="21"/>
                <w:szCs w:val="21"/>
                <w:highlight w:val="none"/>
              </w:rPr>
              <w:t xml:space="preserve">3、显示：彩色VA反显屏幕，带高温报警功能，最大/最小值保持</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5</w:t>
            </w:r>
            <w:r>
              <w:rPr>
                <w:color w:val="auto"/>
                <w:highlight w:val="none"/>
              </w:rPr>
              <w:t xml:space="preserve">2</w:t>
            </w:r>
            <w:r/>
          </w:p>
        </w:tc>
        <w:tc>
          <w:tcPr>
            <w:shd w:val="clear" w:color="auto" w:fill="auto"/>
            <w:tcW w:w="1701" w:type="dxa"/>
            <w:vAlign w:val="center"/>
            <w:textDirection w:val="lrTb"/>
            <w:noWrap w:val="false"/>
          </w:tcPr>
          <w:p>
            <w:pPr>
              <w:jc w:val="center"/>
              <w:rPr>
                <w:color w:val="auto"/>
                <w:highlight w:val="none"/>
              </w:rPr>
            </w:pPr>
            <w:r>
              <w:rPr>
                <w:rFonts w:hint="eastAsia"/>
                <w:color w:val="auto"/>
                <w:highlight w:val="none"/>
              </w:rPr>
              <w:t xml:space="preserve">智能土壤监测设备</w:t>
            </w:r>
            <w:r/>
          </w:p>
        </w:tc>
        <w:tc>
          <w:tcPr>
            <w:shd w:val="clear" w:color="auto" w:fill="auto"/>
            <w:tcW w:w="7796" w:type="dxa"/>
            <w:textDirection w:val="lrTb"/>
            <w:noWrap w:val="false"/>
          </w:tcPr>
          <w:p>
            <w:pPr>
              <w:contextualSpacing/>
              <w:rPr>
                <w:bCs/>
                <w:color w:val="auto"/>
                <w:sz w:val="21"/>
                <w:szCs w:val="21"/>
                <w:highlight w:val="none"/>
              </w:rPr>
            </w:pPr>
            <w:r>
              <w:rPr>
                <w:rFonts w:hint="eastAsia"/>
                <w:bCs/>
                <w:color w:val="auto"/>
                <w:sz w:val="21"/>
                <w:szCs w:val="21"/>
                <w:highlight w:val="none"/>
              </w:rPr>
              <w:t xml:space="preserve">▲1、仿石外观设计：采用仿石材造型，，隐蔽性强，免开槽布线安装</w:t>
            </w:r>
            <w:r/>
          </w:p>
          <w:p>
            <w:pPr>
              <w:contextualSpacing/>
              <w:rPr>
                <w:bCs/>
                <w:color w:val="auto"/>
                <w:sz w:val="21"/>
                <w:szCs w:val="21"/>
                <w:highlight w:val="none"/>
              </w:rPr>
            </w:pPr>
            <w:r>
              <w:rPr>
                <w:rFonts w:hint="eastAsia"/>
                <w:bCs/>
                <w:color w:val="auto"/>
                <w:sz w:val="21"/>
                <w:szCs w:val="21"/>
                <w:highlight w:val="none"/>
              </w:rPr>
              <w:t xml:space="preserve">2、独立供电：内置 10W太阳能主板 + 10Ah锂电池，支持连续阴雨天长时间正常工作，无需市电</w:t>
            </w:r>
            <w:r/>
          </w:p>
          <w:p>
            <w:pPr>
              <w:contextualSpacing/>
              <w:rPr>
                <w:bCs/>
                <w:color w:val="auto"/>
                <w:sz w:val="21"/>
                <w:szCs w:val="21"/>
                <w:highlight w:val="none"/>
              </w:rPr>
            </w:pPr>
            <w:r>
              <w:rPr>
                <w:rFonts w:hint="eastAsia"/>
                <w:bCs/>
                <w:color w:val="auto"/>
                <w:sz w:val="21"/>
                <w:szCs w:val="21"/>
                <w:highlight w:val="none"/>
              </w:rPr>
              <w:t xml:space="preserve">▲3、数字化功能：支持 GIS精准定位，可与喷灌控制器联动，实现「监测-分析-喷灌」自动化闭环</w:t>
            </w:r>
            <w:r/>
          </w:p>
          <w:p>
            <w:pPr>
              <w:contextualSpacing/>
              <w:rPr>
                <w:bCs/>
                <w:color w:val="auto"/>
                <w:sz w:val="21"/>
                <w:szCs w:val="21"/>
                <w:highlight w:val="none"/>
              </w:rPr>
            </w:pPr>
            <w:r>
              <w:rPr>
                <w:rFonts w:hint="eastAsia"/>
                <w:bCs/>
                <w:color w:val="auto"/>
                <w:sz w:val="21"/>
                <w:szCs w:val="21"/>
                <w:highlight w:val="none"/>
              </w:rPr>
              <w:t xml:space="preserve">4、监测指标：集成土壤温湿度、电导率(EC)、pH值等多参数监测，支持超阈值实时预警推送至手机</w:t>
            </w:r>
            <w:r/>
          </w:p>
          <w:p>
            <w:pPr>
              <w:contextualSpacing/>
              <w:rPr>
                <w:bCs/>
                <w:color w:val="auto"/>
                <w:sz w:val="21"/>
                <w:szCs w:val="21"/>
                <w:highlight w:val="none"/>
              </w:rPr>
            </w:pPr>
            <w:r>
              <w:rPr>
                <w:rFonts w:hint="eastAsia"/>
                <w:bCs/>
                <w:color w:val="auto"/>
                <w:sz w:val="21"/>
                <w:szCs w:val="21"/>
                <w:highlight w:val="none"/>
              </w:rPr>
              <w:t xml:space="preserve">5、传感器接口：可扩展氮磷钾监测能力</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5</w:t>
            </w:r>
            <w:r>
              <w:rPr>
                <w:color w:val="auto"/>
                <w:highlight w:val="none"/>
              </w:rPr>
              <w:t xml:space="preserve">3</w:t>
            </w:r>
            <w:r/>
          </w:p>
        </w:tc>
        <w:tc>
          <w:tcPr>
            <w:tcW w:w="1701" w:type="dxa"/>
            <w:vAlign w:val="center"/>
            <w:textDirection w:val="lrTb"/>
            <w:noWrap w:val="false"/>
          </w:tcPr>
          <w:p>
            <w:pPr>
              <w:widowControl/>
              <w:rPr>
                <w:color w:val="auto"/>
                <w:highlight w:val="none"/>
                <w:lang w:bidi="ar"/>
              </w:rPr>
            </w:pPr>
            <w:r>
              <w:rPr>
                <w:rFonts w:hint="eastAsia"/>
                <w:color w:val="auto"/>
                <w:highlight w:val="none"/>
              </w:rPr>
              <w:t xml:space="preserve">智慧多功能绘图组合1</w:t>
            </w:r>
            <w:r/>
          </w:p>
        </w:tc>
        <w:tc>
          <w:tcPr>
            <w:tcW w:w="7796" w:type="dxa"/>
            <w:vAlign w:val="center"/>
            <w:textDirection w:val="lrTb"/>
            <w:noWrap w:val="false"/>
          </w:tcPr>
          <w:p>
            <w:pPr>
              <w:pStyle w:val="939"/>
              <w:contextualSpacing/>
              <w:ind w:left="0" w:firstLine="0"/>
              <w:rPr>
                <w:bCs/>
                <w:color w:val="auto"/>
                <w:sz w:val="21"/>
                <w:szCs w:val="21"/>
                <w:highlight w:val="none"/>
              </w:rPr>
            </w:pPr>
            <w:r>
              <w:rPr>
                <w:rFonts w:hint="eastAsia"/>
                <w:bCs/>
                <w:color w:val="auto"/>
                <w:sz w:val="21"/>
                <w:szCs w:val="21"/>
                <w:highlight w:val="none"/>
              </w:rPr>
              <w:t xml:space="preserve">1、尺寸：</w:t>
            </w:r>
            <w:bookmarkStart w:id="59" w:name="OLE_LINK14"/>
            <w:r/>
            <w:bookmarkStart w:id="60" w:name="OLE_LINK13"/>
            <w:r>
              <w:rPr>
                <w:rFonts w:hint="eastAsia"/>
                <w:bCs/>
                <w:color w:val="auto"/>
                <w:sz w:val="21"/>
                <w:szCs w:val="21"/>
                <w:highlight w:val="none"/>
              </w:rPr>
              <w:t xml:space="preserve">▲</w:t>
            </w:r>
            <w:bookmarkEnd w:id="59"/>
            <w:r/>
            <w:bookmarkEnd w:id="60"/>
            <w:r>
              <w:rPr>
                <w:rFonts w:hint="eastAsia"/>
                <w:bCs/>
                <w:color w:val="auto"/>
                <w:sz w:val="21"/>
                <w:szCs w:val="21"/>
                <w:highlight w:val="none"/>
              </w:rPr>
              <w:t xml:space="preserve">长800±5mm*宽600±5mm*高750±5mm</w:t>
            </w:r>
            <w:r/>
          </w:p>
          <w:p>
            <w:pPr>
              <w:pStyle w:val="939"/>
              <w:contextualSpacing/>
              <w:ind w:left="0" w:firstLine="0"/>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、基材：采用E0级环保刨花板，满足游离甲醛释放量≤0.050mg/m³，挥发性有机化合物：总挥发性有机化合物（TVOC）未检出；苯、甲苯均未检出；理化性能：板内密度偏差（0.</w:t>
            </w:r>
            <w:r>
              <w:rPr>
                <w:rFonts w:hint="eastAsia"/>
                <w:bCs/>
                <w:color w:val="auto"/>
                <w:sz w:val="21"/>
                <w:szCs w:val="21"/>
                <w:highlight w:val="none"/>
              </w:rPr>
              <w:t xml:space="preserve">3，-1.1）%,含水率6.2%；板面握钉力≥1100N，板边握钉≥700N,表面胶合强度≥1.0MPa，内胶合强度≥0.30MPa,2h吸水厚度膨胀率≤8.0%；静曲强度≥11MPa；弹性模量≥2500MPa。符合GB/T4897-2015《刨花板》;GB18580-2017《室内装饰装修材料人造板及其制品中甲醛释放限量》;GB/T39600-2021《人造板及其制品甲醛释放量分级》;HJ571-2010《环境标志产品技术要求人造板及其制品》;GB/T35601-2024《绿色产品评价人造板和木质地板》;</w:t>
            </w:r>
            <w:r/>
          </w:p>
          <w:p>
            <w:pPr>
              <w:pStyle w:val="939"/>
              <w:contextualSpacing/>
              <w:ind w:left="0" w:firstLine="0"/>
              <w:rPr>
                <w:bCs/>
                <w:color w:val="auto"/>
                <w:sz w:val="21"/>
                <w:szCs w:val="21"/>
                <w:highlight w:val="none"/>
              </w:rPr>
            </w:pPr>
            <w:r>
              <w:rPr>
                <w:bCs/>
                <w:color w:val="auto"/>
                <w:sz w:val="21"/>
                <w:szCs w:val="21"/>
                <w:highlight w:val="none"/>
              </w:rPr>
              <w:t xml:space="preserve">3</w:t>
            </w:r>
            <w:r>
              <w:rPr>
                <w:rFonts w:hint="eastAsia"/>
                <w:bCs/>
                <w:color w:val="auto"/>
                <w:sz w:val="21"/>
                <w:szCs w:val="21"/>
                <w:highlight w:val="none"/>
              </w:rPr>
              <w:t xml:space="preserve">、面材：采用优质防火板。满足游离甲醛释放量≤0.025mg/m³，理化性能：耐磨性能≥3级，耐沸水、耐干热、耐湿热、耐水蒸气、耐开裂性、耐污染等级均达到5级，耐划痕为3级。符合GB/T 7911-2024《热固性树脂浸渍纸高压装饰层积板(HPL)》;GB/T39600-2021《人造板及其制品甲醛释放量分级》;GB18580-2017《室内装饰装修材料人造板及其制品中甲醛释放限量》;HJ571-2010《环境标志产品技术要求人造板及其制品》；</w:t>
            </w:r>
            <w:r/>
          </w:p>
          <w:p>
            <w:pPr>
              <w:pStyle w:val="939"/>
              <w:contextualSpacing/>
              <w:ind w:left="0" w:firstLine="0"/>
              <w:rPr>
                <w:bCs/>
                <w:color w:val="auto"/>
                <w:sz w:val="21"/>
                <w:szCs w:val="21"/>
                <w:highlight w:val="none"/>
              </w:rPr>
            </w:pPr>
            <w:r>
              <w:rPr>
                <w:bCs/>
                <w:color w:val="auto"/>
                <w:sz w:val="21"/>
                <w:szCs w:val="21"/>
                <w:highlight w:val="none"/>
              </w:rPr>
              <w:t xml:space="preserve">4</w:t>
            </w:r>
            <w:r>
              <w:rPr>
                <w:rFonts w:hint="eastAsia"/>
                <w:bCs/>
                <w:color w:val="auto"/>
                <w:sz w:val="21"/>
                <w:szCs w:val="21"/>
                <w:highlight w:val="none"/>
              </w:rPr>
              <w:t xml:space="preserve">、封边：采用同色PVC封边，厚度≥2.0mm，热熔颗粒封边胶，敞开式和隐蔽式的截面均应做到处理。理化性能：耐开裂性≥1级；耐光色牢度大于4级；有害物质限量：甲醛释放量、氯乙烯单体、多溴联苯、多溴联苯醚均未检出。</w:t>
            </w:r>
            <w:r/>
          </w:p>
          <w:p>
            <w:pPr>
              <w:pStyle w:val="939"/>
              <w:contextualSpacing/>
              <w:ind w:left="0" w:firstLine="0"/>
              <w:rPr>
                <w:bCs/>
                <w:color w:val="auto"/>
                <w:sz w:val="21"/>
                <w:szCs w:val="21"/>
                <w:highlight w:val="none"/>
              </w:rPr>
            </w:pPr>
            <w:r>
              <w:rPr>
                <w:rFonts w:hint="eastAsia"/>
                <w:bCs/>
                <w:color w:val="auto"/>
                <w:sz w:val="21"/>
                <w:szCs w:val="21"/>
                <w:highlight w:val="none"/>
              </w:rPr>
              <w:t xml:space="preserve">4、框架：钢板壁厚≥1.2mm，承重不小于200公斤。可用螺栓固定于地板。</w:t>
            </w:r>
            <w:r/>
          </w:p>
          <w:p>
            <w:pPr>
              <w:pStyle w:val="939"/>
              <w:contextualSpacing/>
              <w:ind w:left="0" w:firstLine="0"/>
              <w:rPr>
                <w:bCs/>
                <w:color w:val="auto"/>
                <w:sz w:val="21"/>
                <w:szCs w:val="21"/>
                <w:highlight w:val="none"/>
              </w:rPr>
            </w:pPr>
            <w:r>
              <w:rPr>
                <w:rFonts w:hint="eastAsia"/>
                <w:bCs/>
                <w:color w:val="auto"/>
                <w:sz w:val="21"/>
                <w:szCs w:val="21"/>
                <w:highlight w:val="none"/>
              </w:rPr>
              <w:t xml:space="preserve">一、功能要求  </w:t>
            </w:r>
            <w:r/>
          </w:p>
          <w:p>
            <w:pPr>
              <w:pStyle w:val="939"/>
              <w:contextualSpacing/>
              <w:ind w:left="0" w:firstLine="0"/>
              <w:rPr>
                <w:bCs/>
                <w:color w:val="auto"/>
                <w:sz w:val="21"/>
                <w:szCs w:val="21"/>
                <w:highlight w:val="none"/>
              </w:rPr>
            </w:pPr>
            <w:r>
              <w:rPr>
                <w:rFonts w:hint="eastAsia"/>
                <w:bCs/>
                <w:color w:val="auto"/>
                <w:sz w:val="21"/>
                <w:szCs w:val="21"/>
                <w:highlight w:val="none"/>
              </w:rPr>
              <w:t xml:space="preserve">▲1、桌面设计有可调节桌板，角度可调，便于绘图使用；桌面四周倒圆角，保证学生安全使用。</w:t>
            </w:r>
            <w:r/>
          </w:p>
          <w:p>
            <w:pPr>
              <w:pStyle w:val="939"/>
              <w:contextualSpacing/>
              <w:ind w:left="0" w:firstLine="0"/>
              <w:rPr>
                <w:bCs/>
                <w:color w:val="auto"/>
                <w:sz w:val="21"/>
                <w:szCs w:val="21"/>
                <w:highlight w:val="none"/>
              </w:rPr>
            </w:pPr>
            <w:r>
              <w:rPr>
                <w:rFonts w:hint="eastAsia"/>
                <w:bCs/>
                <w:color w:val="auto"/>
                <w:sz w:val="21"/>
                <w:szCs w:val="21"/>
                <w:highlight w:val="none"/>
              </w:rPr>
              <w:t xml:space="preserve">2、电源：配备五孔插座，满足每人位至少1个强电插座，带隐蔽式走线系统（电源的接地线与桌腿和桌脚相连通）需要预留检修装置；中标人负责家具内穿线及安装面板，采购人负责排线至课桌的进线处并预留电线长度至插座，中标人安装家具时，负责电线连接插座，接线符合电工规范；面板使用市面上主流品牌，确保安全。</w:t>
            </w:r>
            <w:r/>
          </w:p>
          <w:p>
            <w:pPr>
              <w:pStyle w:val="939"/>
              <w:contextualSpacing/>
              <w:ind w:left="0" w:firstLine="0"/>
              <w:rPr>
                <w:bCs/>
                <w:color w:val="auto"/>
                <w:sz w:val="21"/>
                <w:szCs w:val="21"/>
                <w:highlight w:val="none"/>
              </w:rPr>
            </w:pPr>
            <w:r>
              <w:rPr>
                <w:rFonts w:hint="eastAsia"/>
                <w:bCs/>
                <w:color w:val="auto"/>
                <w:sz w:val="21"/>
                <w:szCs w:val="21"/>
                <w:highlight w:val="none"/>
              </w:rPr>
              <w:t xml:space="preserve">3.桌面需配备挡笔沿与夹子，防止纸张掉落，方便使用；</w:t>
            </w:r>
            <w:r/>
          </w:p>
          <w:p>
            <w:pPr>
              <w:pStyle w:val="939"/>
              <w:contextualSpacing/>
              <w:ind w:left="0" w:firstLine="0"/>
              <w:rPr>
                <w:bCs/>
                <w:color w:val="auto"/>
                <w:sz w:val="21"/>
                <w:szCs w:val="21"/>
                <w:highlight w:val="none"/>
              </w:rPr>
            </w:pPr>
            <w:r>
              <w:rPr>
                <w:rFonts w:hint="eastAsia"/>
                <w:bCs/>
                <w:color w:val="auto"/>
                <w:sz w:val="21"/>
                <w:szCs w:val="21"/>
                <w:highlight w:val="none"/>
              </w:rPr>
              <w:t xml:space="preserve">学生椅参数</w:t>
            </w:r>
            <w:r/>
          </w:p>
          <w:p>
            <w:pPr>
              <w:pStyle w:val="939"/>
              <w:contextualSpacing/>
              <w:ind w:left="0" w:firstLine="0"/>
              <w:rPr>
                <w:bCs/>
                <w:color w:val="auto"/>
                <w:sz w:val="21"/>
                <w:szCs w:val="21"/>
                <w:highlight w:val="none"/>
              </w:rPr>
            </w:pPr>
            <w:r>
              <w:rPr>
                <w:rFonts w:hint="eastAsia"/>
                <w:bCs/>
                <w:color w:val="auto"/>
                <w:sz w:val="21"/>
                <w:szCs w:val="21"/>
                <w:highlight w:val="none"/>
              </w:rPr>
              <w:t xml:space="preserve">一、规格尺寸</w:t>
            </w:r>
            <w:r/>
          </w:p>
          <w:p>
            <w:pPr>
              <w:pStyle w:val="880"/>
              <w:rPr>
                <w:color w:val="auto"/>
                <w:sz w:val="21"/>
                <w:szCs w:val="21"/>
                <w:highlight w:val="none"/>
              </w:rPr>
            </w:pPr>
            <w:r>
              <w:rPr>
                <w:rFonts w:hint="eastAsia"/>
                <w:bCs/>
                <w:color w:val="auto"/>
                <w:sz w:val="21"/>
                <w:szCs w:val="21"/>
                <w:highlight w:val="none"/>
              </w:rPr>
              <w:t xml:space="preserve">▲①规格：54</w:t>
            </w:r>
            <w:r>
              <w:rPr>
                <w:rFonts w:hint="eastAsia"/>
                <w:bCs/>
                <w:color w:val="auto"/>
                <w:sz w:val="21"/>
                <w:szCs w:val="21"/>
                <w:highlight w:val="none"/>
                <w:lang w:val="en-US"/>
              </w:rPr>
              <w:t xml:space="preserve">0</w:t>
            </w:r>
            <w:r>
              <w:rPr>
                <w:rFonts w:hint="eastAsia"/>
                <w:bCs/>
                <w:color w:val="auto"/>
                <w:sz w:val="21"/>
                <w:szCs w:val="21"/>
                <w:highlight w:val="none"/>
              </w:rPr>
              <w:t xml:space="preserve">mm宽*50</w:t>
            </w:r>
            <w:r>
              <w:rPr>
                <w:rFonts w:hint="eastAsia"/>
                <w:bCs/>
                <w:color w:val="auto"/>
                <w:sz w:val="21"/>
                <w:szCs w:val="21"/>
                <w:highlight w:val="none"/>
                <w:lang w:val="en-US"/>
              </w:rPr>
              <w:t xml:space="preserve">0</w:t>
            </w:r>
            <w:r>
              <w:rPr>
                <w:rFonts w:hint="eastAsia"/>
                <w:bCs/>
                <w:color w:val="auto"/>
                <w:sz w:val="21"/>
                <w:szCs w:val="21"/>
                <w:highlight w:val="none"/>
              </w:rPr>
              <w:t xml:space="preserve">mm深*84</w:t>
            </w:r>
            <w:r>
              <w:rPr>
                <w:rFonts w:hint="eastAsia"/>
                <w:bCs/>
                <w:color w:val="auto"/>
                <w:sz w:val="21"/>
                <w:szCs w:val="21"/>
                <w:highlight w:val="none"/>
                <w:lang w:val="en-US"/>
              </w:rPr>
              <w:t xml:space="preserve">0</w:t>
            </w:r>
            <w:r>
              <w:rPr>
                <w:rFonts w:hint="eastAsia"/>
                <w:bCs/>
                <w:color w:val="auto"/>
                <w:sz w:val="21"/>
                <w:szCs w:val="21"/>
                <w:highlight w:val="none"/>
              </w:rPr>
              <w:t xml:space="preserve">mm高（</w:t>
            </w:r>
            <w:r>
              <w:rPr>
                <w:rFonts w:hint="eastAsia"/>
                <w:bCs/>
                <w:color w:val="auto"/>
                <w:sz w:val="21"/>
                <w:szCs w:val="21"/>
                <w:highlight w:val="none"/>
                <w:lang w:val="en-US"/>
              </w:rPr>
              <w:t xml:space="preserve">根据现场微调</w:t>
            </w:r>
            <w:r>
              <w:rPr>
                <w:rFonts w:hint="eastAsia"/>
                <w:bCs/>
                <w:color w:val="auto"/>
                <w:sz w:val="21"/>
                <w:szCs w:val="21"/>
                <w:highlight w:val="none"/>
              </w:rPr>
              <w:t xml:space="preserve">）</w:t>
            </w:r>
            <w:r/>
          </w:p>
          <w:p>
            <w:pPr>
              <w:pStyle w:val="939"/>
              <w:contextualSpacing/>
              <w:ind w:left="0" w:firstLine="0"/>
              <w:rPr>
                <w:bCs/>
                <w:color w:val="auto"/>
                <w:sz w:val="21"/>
                <w:szCs w:val="21"/>
                <w:highlight w:val="none"/>
              </w:rPr>
            </w:pPr>
            <w:r>
              <w:rPr>
                <w:rFonts w:hint="eastAsia"/>
                <w:bCs/>
                <w:color w:val="auto"/>
                <w:sz w:val="21"/>
                <w:szCs w:val="21"/>
                <w:highlight w:val="none"/>
              </w:rPr>
              <w:t xml:space="preserve">二、材质描述</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①椅背及椅座：采用环保注压成型聚丙烯材质，确保其舒适弹性下同时保持足够承托强度；PP粒子要求有害物质可溶性铅、可溶性镉、可溶性铬、可溶性汞未检出，需符合GB/T 32487-2016《塑料家具通用技术条件》。</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②框架：要求采用采用直径≥20mm，壁厚≥1.7mm厚的钢管支撑；钢管力学性能部分，下屈服强度≥280Mpa，抗拉强度≥320Mpa，断后伸长率（D＞168.3mm）≥30.0%；符合GB/T 13793-2016《直缝电焊钢管》、GB/T 700-2006《碳素结构钢》标准。钢管表面使用物理方法进行除油除锈处理后采用环保型塑粉静电喷塑处理；防腐防锈。金属件喷涂层应表面应光滑均匀，色泽一致，无流挂、疙瘩、飞漆，无漏喷、锈蚀和脱色、掉色现象。</w:t>
            </w:r>
            <w:r/>
          </w:p>
          <w:p>
            <w:pPr>
              <w:pStyle w:val="939"/>
              <w:contextualSpacing/>
              <w:ind w:left="0" w:firstLine="0"/>
              <w:rPr>
                <w:bCs/>
                <w:color w:val="auto"/>
                <w:sz w:val="21"/>
                <w:szCs w:val="21"/>
                <w:highlight w:val="none"/>
              </w:rPr>
            </w:pPr>
            <w:r>
              <w:rPr>
                <w:rFonts w:hint="eastAsia"/>
                <w:bCs/>
                <w:color w:val="auto"/>
                <w:sz w:val="21"/>
                <w:szCs w:val="21"/>
                <w:highlight w:val="none"/>
              </w:rPr>
              <w:t xml:space="preserve">脚垫：采用尼龙脚垫；要求尼龙脚垫跌落高度200mm，10次无损坏；邻苯二甲酸酯未检出；符合GB/T32487-2016《塑料家具通用技术条件》。耐磨寿命可达15年以上。</w:t>
            </w:r>
            <w:r/>
          </w:p>
          <w:p>
            <w:pPr>
              <w:pStyle w:val="939"/>
              <w:contextualSpacing/>
              <w:ind w:left="0" w:firstLine="0"/>
              <w:rPr>
                <w:bCs/>
                <w:color w:val="auto"/>
                <w:sz w:val="21"/>
                <w:szCs w:val="21"/>
                <w:highlight w:val="none"/>
              </w:rPr>
            </w:pPr>
            <w:r>
              <w:rPr>
                <w:rFonts w:hint="eastAsia"/>
                <w:bCs/>
                <w:color w:val="auto"/>
                <w:sz w:val="21"/>
                <w:szCs w:val="21"/>
                <w:highlight w:val="none"/>
              </w:rPr>
              <w:t xml:space="preserve">三、工艺描述</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▲①成品整体要求:金属件外观管材无裂缝、</w:t>
            </w:r>
            <w:r>
              <w:rPr>
                <w:rFonts w:hint="eastAsia"/>
                <w:bCs/>
                <w:color w:val="auto"/>
                <w:sz w:val="21"/>
                <w:szCs w:val="21"/>
                <w:highlight w:val="none"/>
              </w:rPr>
              <w:t xml:space="preserve">叠缝，外露管口端面封闭；塑料件外观应无裂纹、明显变形、缩水、针孔；无划痕、毛刺、拉毛、污渍；无明显色差；苯、甲苯、二甲苯与总挥发性有机化合物（TVOC）未检出；可迁移有害元素含量锑Sb、砷As、镉Cd、铬Cr、汞Hg、硒Se未检出；承重180kg无损坏；符合GB/T 3325-2024《金属家具通用技术条件》、GB 28008-2024《家具结构安全技术规范》、GB 18584-2024《家具中有害物质限量》、QB/T 4071-2021《课桌椅》、GB/T 35607-2024《绿色产品评价 家具》标准。</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▲②椅背采用一体式流线造型，设置椭圆型通透镂空结构，通风散热效果优良；椅背整体具备柔性力学回弹结构支撑，受力可实现≥15° 自适应倾仰弯折，贴合人体倚靠坐姿，满足学习休憩双重使用需求，乘坐舒适不易疲劳。</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③椅座与支架连接部位采用三角力学稳固布局设计，多点位均衡分散承重应力；连接处采用高强度加固连接装配工艺，结构咬合紧密、受力均匀，经长期高频久坐使用，连接结构稳固不松动，整体结构强度与耐久性能满足校园常态化高强度使用标准。（需提供产品结构设计图或产品彩页复印件佐证））。</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④椅背、椅座和框架多种颜色可选，并提供颜色样板供选择。</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⑤四腿支撑结构，稳固，可轻松堆叠，方便二次运输。</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5</w:t>
            </w:r>
            <w:r>
              <w:rPr>
                <w:color w:val="auto"/>
                <w:highlight w:val="none"/>
              </w:rPr>
              <w:t xml:space="preserve">4</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智慧多功能绘图组合2</w:t>
            </w:r>
            <w:r/>
          </w:p>
        </w:tc>
        <w:tc>
          <w:tcPr>
            <w:tcW w:w="7796" w:type="dxa"/>
            <w:vAlign w:val="center"/>
            <w:textDirection w:val="lrTb"/>
            <w:noWrap w:val="false"/>
          </w:tcPr>
          <w:p>
            <w:pPr>
              <w:pStyle w:val="939"/>
              <w:contextualSpacing/>
              <w:ind w:left="0" w:firstLine="0"/>
              <w:rPr>
                <w:bCs/>
                <w:color w:val="auto"/>
                <w:sz w:val="21"/>
                <w:szCs w:val="21"/>
                <w:highlight w:val="none"/>
              </w:rPr>
            </w:pPr>
            <w:r>
              <w:rPr>
                <w:rFonts w:hint="eastAsia"/>
                <w:bCs/>
                <w:color w:val="auto"/>
                <w:sz w:val="21"/>
                <w:szCs w:val="21"/>
                <w:highlight w:val="none"/>
              </w:rPr>
              <w:t xml:space="preserve">▲1、尺寸：长1300±5mm*宽600±5mm*高750±5mm</w:t>
            </w:r>
            <w:r/>
          </w:p>
          <w:p>
            <w:pPr>
              <w:pStyle w:val="939"/>
              <w:contextualSpacing/>
              <w:ind w:left="0" w:firstLine="0"/>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、基材：采用E0级环保刨花板，满足游离甲醛释放量≤0.050mg/m³，挥发性有机化合物：总挥发性有机化合物（TVOC）未检出；苯、甲苯均未检出；理化性能：板内密度偏差（0.</w:t>
            </w:r>
            <w:r>
              <w:rPr>
                <w:rFonts w:hint="eastAsia"/>
                <w:bCs/>
                <w:color w:val="auto"/>
                <w:sz w:val="21"/>
                <w:szCs w:val="21"/>
                <w:highlight w:val="none"/>
              </w:rPr>
              <w:t xml:space="preserve">3，-1.1）%,含水率6.2%；板面握钉力≥1100N，板边握钉≥700N,表面胶合强度≥1.0MPa，内胶合强度≥0.30MPa,2h吸水厚度膨胀率≤8.0%；静曲强度≥11MPa；弹性模量≥2500MPa。符合GB/T4897-2015《刨花板》;GB18580-2017《室内装饰装修材料人造板及其制品中甲醛释放限量》;GB/T39600-2021《人造板及其制品甲醛释放量分级》;HJ571-2010《环境标志产品技术要求人造板及其制品》;GB/T35601-2024《绿色产品评价人造板和木质地板》;</w:t>
            </w:r>
            <w:r/>
          </w:p>
          <w:p>
            <w:pPr>
              <w:pStyle w:val="939"/>
              <w:contextualSpacing/>
              <w:ind w:left="0" w:firstLine="0"/>
              <w:rPr>
                <w:bCs/>
                <w:color w:val="auto"/>
                <w:sz w:val="21"/>
                <w:szCs w:val="21"/>
                <w:highlight w:val="none"/>
              </w:rPr>
            </w:pPr>
            <w:r>
              <w:rPr>
                <w:bCs/>
                <w:color w:val="auto"/>
                <w:sz w:val="21"/>
                <w:szCs w:val="21"/>
                <w:highlight w:val="none"/>
              </w:rPr>
              <w:t xml:space="preserve">3</w:t>
            </w:r>
            <w:r>
              <w:rPr>
                <w:rFonts w:hint="eastAsia"/>
                <w:bCs/>
                <w:color w:val="auto"/>
                <w:sz w:val="21"/>
                <w:szCs w:val="21"/>
                <w:highlight w:val="none"/>
              </w:rPr>
              <w:t xml:space="preserve">、面材：采用优质防火板。满足游离甲醛释放量≤0.025mg/m³，理化性能：耐磨性能≥3级，耐沸水、耐干热、耐湿热、耐水蒸气、耐开裂性、耐污染等级均达到5级，耐划痕为3级。符合GB/T 7911-2024《热固性树脂浸渍纸高压装饰层积板(HPL)》;GB/T39600-2021《人造板及其制品甲醛释放量分级》;GB18580-2017《室内装饰装修材料人造板及其制品中甲醛释放限量》;HJ571-2010《环境标志产品技术要求人造板及其制品》；</w:t>
            </w:r>
            <w:r/>
          </w:p>
          <w:p>
            <w:pPr>
              <w:pStyle w:val="939"/>
              <w:contextualSpacing/>
              <w:ind w:left="0" w:firstLine="0"/>
              <w:rPr>
                <w:bCs/>
                <w:color w:val="auto"/>
                <w:sz w:val="21"/>
                <w:szCs w:val="21"/>
                <w:highlight w:val="none"/>
              </w:rPr>
            </w:pPr>
            <w:r>
              <w:rPr>
                <w:bCs/>
                <w:color w:val="auto"/>
                <w:sz w:val="21"/>
                <w:szCs w:val="21"/>
                <w:highlight w:val="none"/>
              </w:rPr>
              <w:t xml:space="preserve">4</w:t>
            </w:r>
            <w:r>
              <w:rPr>
                <w:rFonts w:hint="eastAsia"/>
                <w:bCs/>
                <w:color w:val="auto"/>
                <w:sz w:val="21"/>
                <w:szCs w:val="21"/>
                <w:highlight w:val="none"/>
              </w:rPr>
              <w:t xml:space="preserve">、封边：采用同色PVC封边，厚度≥2.0mm，热熔颗粒封边胶，敞开式和隐蔽式的截面均应做到处理。理化性能：耐开裂性≥1级；耐光色牢度大于4级；有害物质限量：甲醛释放量、氯乙烯单体、多溴联苯、多溴联苯醚均未检出。</w:t>
            </w:r>
            <w:r/>
          </w:p>
          <w:p>
            <w:pPr>
              <w:pStyle w:val="939"/>
              <w:contextualSpacing/>
              <w:ind w:left="0" w:firstLine="0"/>
              <w:rPr>
                <w:bCs/>
                <w:color w:val="auto"/>
                <w:sz w:val="21"/>
                <w:szCs w:val="21"/>
                <w:highlight w:val="none"/>
              </w:rPr>
            </w:pPr>
            <w:r>
              <w:rPr>
                <w:rFonts w:hint="eastAsia"/>
                <w:bCs/>
                <w:color w:val="auto"/>
                <w:sz w:val="21"/>
                <w:szCs w:val="21"/>
                <w:highlight w:val="none"/>
              </w:rPr>
              <w:t xml:space="preserve">4、框架：钢板壁厚≥1.2mm，承重不小于200公斤。可用螺栓固定于地板。</w:t>
            </w:r>
            <w:r/>
          </w:p>
          <w:p>
            <w:pPr>
              <w:pStyle w:val="939"/>
              <w:contextualSpacing/>
              <w:ind w:left="0" w:firstLine="0"/>
              <w:rPr>
                <w:bCs/>
                <w:color w:val="auto"/>
                <w:sz w:val="21"/>
                <w:szCs w:val="21"/>
                <w:highlight w:val="none"/>
              </w:rPr>
            </w:pPr>
            <w:r>
              <w:rPr>
                <w:rFonts w:hint="eastAsia"/>
                <w:bCs/>
                <w:color w:val="auto"/>
                <w:sz w:val="21"/>
                <w:szCs w:val="21"/>
                <w:highlight w:val="none"/>
              </w:rPr>
              <w:t xml:space="preserve">一、功能要求  </w:t>
            </w:r>
            <w:r/>
          </w:p>
          <w:p>
            <w:pPr>
              <w:pStyle w:val="939"/>
              <w:contextualSpacing/>
              <w:ind w:left="0" w:firstLine="0"/>
              <w:rPr>
                <w:bCs/>
                <w:color w:val="auto"/>
                <w:sz w:val="21"/>
                <w:szCs w:val="21"/>
                <w:highlight w:val="none"/>
              </w:rPr>
            </w:pPr>
            <w:r>
              <w:rPr>
                <w:rFonts w:hint="eastAsia"/>
                <w:bCs/>
                <w:color w:val="auto"/>
                <w:sz w:val="21"/>
                <w:szCs w:val="21"/>
                <w:highlight w:val="none"/>
              </w:rPr>
              <w:t xml:space="preserve">▲1、桌面设计有可调节桌板，角度可调，便于绘图使用；桌面四周倒圆角，保证学生安全使用。</w:t>
            </w:r>
            <w:r/>
          </w:p>
          <w:p>
            <w:pPr>
              <w:pStyle w:val="939"/>
              <w:contextualSpacing/>
              <w:ind w:left="0" w:firstLine="0"/>
              <w:rPr>
                <w:bCs/>
                <w:color w:val="auto"/>
                <w:sz w:val="21"/>
                <w:szCs w:val="21"/>
                <w:highlight w:val="none"/>
              </w:rPr>
            </w:pPr>
            <w:r>
              <w:rPr>
                <w:rFonts w:hint="eastAsia"/>
                <w:bCs/>
                <w:color w:val="auto"/>
                <w:sz w:val="21"/>
                <w:szCs w:val="21"/>
                <w:highlight w:val="none"/>
              </w:rPr>
              <w:t xml:space="preserve">2、电源：配备五孔插座，满足每人位至少1个强电插座，带隐蔽式走线系统（电源的接地线与桌腿和桌脚相连通）需要预留检修装置；中标人负责家具内穿线及安装面板，采购人负责排线至课桌的进线处并预留电线长度至插座，中标人安装家具时，负责电线连接插座，接线符合电工规范；面板使用市面上主流品牌，确保安全。</w:t>
            </w:r>
            <w:r/>
          </w:p>
          <w:p>
            <w:pPr>
              <w:pStyle w:val="939"/>
              <w:contextualSpacing/>
              <w:ind w:left="0" w:firstLine="0"/>
              <w:rPr>
                <w:bCs/>
                <w:color w:val="auto"/>
                <w:sz w:val="21"/>
                <w:szCs w:val="21"/>
                <w:highlight w:val="none"/>
              </w:rPr>
            </w:pPr>
            <w:r>
              <w:rPr>
                <w:rFonts w:hint="eastAsia"/>
                <w:bCs/>
                <w:color w:val="auto"/>
                <w:sz w:val="21"/>
                <w:szCs w:val="21"/>
                <w:highlight w:val="none"/>
              </w:rPr>
              <w:t xml:space="preserve">3.桌面需配备挡笔沿与夹子，防止纸张掉落，方便使用；</w:t>
            </w:r>
            <w:r/>
          </w:p>
          <w:p>
            <w:pPr>
              <w:pStyle w:val="939"/>
              <w:contextualSpacing/>
              <w:ind w:left="0" w:firstLine="0"/>
              <w:rPr>
                <w:bCs/>
                <w:color w:val="auto"/>
                <w:sz w:val="21"/>
                <w:szCs w:val="21"/>
                <w:highlight w:val="none"/>
              </w:rPr>
            </w:pPr>
            <w:r>
              <w:rPr>
                <w:rFonts w:hint="eastAsia"/>
                <w:bCs/>
                <w:color w:val="auto"/>
                <w:sz w:val="21"/>
                <w:szCs w:val="21"/>
                <w:highlight w:val="none"/>
              </w:rPr>
              <w:t xml:space="preserve">学生椅参数</w:t>
            </w:r>
            <w:r/>
          </w:p>
          <w:p>
            <w:pPr>
              <w:pStyle w:val="939"/>
              <w:contextualSpacing/>
              <w:ind w:left="0" w:firstLine="0"/>
              <w:rPr>
                <w:bCs/>
                <w:color w:val="auto"/>
                <w:sz w:val="21"/>
                <w:szCs w:val="21"/>
                <w:highlight w:val="none"/>
              </w:rPr>
            </w:pPr>
            <w:r>
              <w:rPr>
                <w:rFonts w:hint="eastAsia"/>
                <w:bCs/>
                <w:color w:val="auto"/>
                <w:sz w:val="21"/>
                <w:szCs w:val="21"/>
                <w:highlight w:val="none"/>
              </w:rPr>
              <w:t xml:space="preserve">一、规格尺寸</w:t>
            </w:r>
            <w:r/>
          </w:p>
          <w:p>
            <w:pPr>
              <w:pStyle w:val="880"/>
              <w:rPr>
                <w:color w:val="auto"/>
                <w:sz w:val="21"/>
                <w:szCs w:val="21"/>
                <w:highlight w:val="none"/>
              </w:rPr>
            </w:pPr>
            <w:r>
              <w:rPr>
                <w:rFonts w:hint="eastAsia"/>
                <w:bCs/>
                <w:color w:val="auto"/>
                <w:sz w:val="21"/>
                <w:szCs w:val="21"/>
                <w:highlight w:val="none"/>
              </w:rPr>
              <w:t xml:space="preserve">①规格：54</w:t>
            </w:r>
            <w:r>
              <w:rPr>
                <w:rFonts w:hint="eastAsia"/>
                <w:bCs/>
                <w:color w:val="auto"/>
                <w:sz w:val="21"/>
                <w:szCs w:val="21"/>
                <w:highlight w:val="none"/>
                <w:lang w:val="en-US"/>
              </w:rPr>
              <w:t xml:space="preserve">0</w:t>
            </w:r>
            <w:r>
              <w:rPr>
                <w:rFonts w:hint="eastAsia"/>
                <w:bCs/>
                <w:color w:val="auto"/>
                <w:sz w:val="21"/>
                <w:szCs w:val="21"/>
                <w:highlight w:val="none"/>
              </w:rPr>
              <w:t xml:space="preserve">mm宽*50</w:t>
            </w:r>
            <w:r>
              <w:rPr>
                <w:rFonts w:hint="eastAsia"/>
                <w:bCs/>
                <w:color w:val="auto"/>
                <w:sz w:val="21"/>
                <w:szCs w:val="21"/>
                <w:highlight w:val="none"/>
                <w:lang w:val="en-US"/>
              </w:rPr>
              <w:t xml:space="preserve">0</w:t>
            </w:r>
            <w:r>
              <w:rPr>
                <w:rFonts w:hint="eastAsia"/>
                <w:bCs/>
                <w:color w:val="auto"/>
                <w:sz w:val="21"/>
                <w:szCs w:val="21"/>
                <w:highlight w:val="none"/>
              </w:rPr>
              <w:t xml:space="preserve">mm深*84</w:t>
            </w:r>
            <w:r>
              <w:rPr>
                <w:rFonts w:hint="eastAsia"/>
                <w:bCs/>
                <w:color w:val="auto"/>
                <w:sz w:val="21"/>
                <w:szCs w:val="21"/>
                <w:highlight w:val="none"/>
                <w:lang w:val="en-US"/>
              </w:rPr>
              <w:t xml:space="preserve">0</w:t>
            </w:r>
            <w:r>
              <w:rPr>
                <w:rFonts w:hint="eastAsia"/>
                <w:bCs/>
                <w:color w:val="auto"/>
                <w:sz w:val="21"/>
                <w:szCs w:val="21"/>
                <w:highlight w:val="none"/>
              </w:rPr>
              <w:t xml:space="preserve">mm高（</w:t>
            </w:r>
            <w:r>
              <w:rPr>
                <w:rFonts w:hint="eastAsia"/>
                <w:bCs/>
                <w:color w:val="auto"/>
                <w:sz w:val="21"/>
                <w:szCs w:val="21"/>
                <w:highlight w:val="none"/>
                <w:lang w:val="en-US"/>
              </w:rPr>
              <w:t xml:space="preserve">根据现场微调</w:t>
            </w:r>
            <w:r>
              <w:rPr>
                <w:rFonts w:hint="eastAsia"/>
                <w:bCs/>
                <w:color w:val="auto"/>
                <w:sz w:val="21"/>
                <w:szCs w:val="21"/>
                <w:highlight w:val="none"/>
              </w:rPr>
              <w:t xml:space="preserve">）</w:t>
            </w:r>
            <w:r/>
          </w:p>
          <w:p>
            <w:pPr>
              <w:pStyle w:val="939"/>
              <w:contextualSpacing/>
              <w:ind w:left="0" w:firstLine="0"/>
              <w:rPr>
                <w:bCs/>
                <w:color w:val="auto"/>
                <w:sz w:val="21"/>
                <w:szCs w:val="21"/>
                <w:highlight w:val="none"/>
              </w:rPr>
            </w:pPr>
            <w:r>
              <w:rPr>
                <w:rFonts w:hint="eastAsia"/>
                <w:bCs/>
                <w:color w:val="auto"/>
                <w:sz w:val="21"/>
                <w:szCs w:val="21"/>
                <w:highlight w:val="none"/>
              </w:rPr>
              <w:t xml:space="preserve">二、材质描述</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①椅背及椅座：采用环保注压成型聚丙烯材质，确保其舒适弹性下同时保持足够承托强度；PP粒子要求有害物质可溶性铅、可溶性镉、可溶性铬、可溶性汞未检出，需符合GB/T 3248</w:t>
            </w:r>
            <w:r>
              <w:rPr>
                <w:rFonts w:hint="eastAsia"/>
                <w:bCs/>
                <w:color w:val="auto"/>
                <w:sz w:val="21"/>
                <w:szCs w:val="21"/>
                <w:highlight w:val="none"/>
              </w:rPr>
              <w:t xml:space="preserve">7-2016《塑料家具通用技术条件》。               ②框架：要求采用采用直径≥20mm，壁厚≥1.7mm厚的钢管支撑；钢管力学性能部分，下屈服强度≥280Mpa，抗拉强度≥320Mpa，断后伸长率（D＞168.3mm）≥30.0%；符合GB/T 13793-2016《直缝电焊钢管》、GB/T 700-2006《碳素结构钢》标准。钢管表面使用物理方法进行除油除锈处理后采用环保型塑粉静电喷塑处理；防腐防锈。金属件喷涂层应表面应光滑均匀，色泽一致，无流挂、疙瘩、飞漆，无漏喷、锈蚀和脱色、掉色现象。</w:t>
            </w:r>
            <w:r/>
          </w:p>
          <w:p>
            <w:pPr>
              <w:pStyle w:val="939"/>
              <w:contextualSpacing/>
              <w:ind w:left="0" w:firstLine="0"/>
              <w:rPr>
                <w:bCs/>
                <w:color w:val="auto"/>
                <w:sz w:val="21"/>
                <w:szCs w:val="21"/>
                <w:highlight w:val="none"/>
              </w:rPr>
            </w:pPr>
            <w:r>
              <w:rPr>
                <w:rFonts w:hint="eastAsia"/>
                <w:bCs/>
                <w:color w:val="auto"/>
                <w:sz w:val="21"/>
                <w:szCs w:val="21"/>
                <w:highlight w:val="none"/>
              </w:rPr>
              <w:t xml:space="preserve">脚垫：采用尼龙脚垫；要求尼龙脚垫跌落高度200mm，10次无损坏；邻苯二甲酸酯未检出；符合GB/T32487-2016《塑料家具通用技术条件》。耐磨寿命可达15年以上。</w:t>
            </w:r>
            <w:r/>
          </w:p>
          <w:p>
            <w:pPr>
              <w:pStyle w:val="939"/>
              <w:contextualSpacing/>
              <w:ind w:left="0" w:firstLine="0"/>
              <w:rPr>
                <w:bCs/>
                <w:color w:val="auto"/>
                <w:sz w:val="21"/>
                <w:szCs w:val="21"/>
                <w:highlight w:val="none"/>
              </w:rPr>
            </w:pPr>
            <w:r>
              <w:rPr>
                <w:rFonts w:hint="eastAsia"/>
                <w:bCs/>
                <w:color w:val="auto"/>
                <w:sz w:val="21"/>
                <w:szCs w:val="21"/>
                <w:highlight w:val="none"/>
              </w:rPr>
              <w:t xml:space="preserve">三、工艺描述</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①成品整体要求:金属件外观管材无裂缝、</w:t>
            </w:r>
            <w:r>
              <w:rPr>
                <w:rFonts w:hint="eastAsia"/>
                <w:bCs/>
                <w:color w:val="auto"/>
                <w:sz w:val="21"/>
                <w:szCs w:val="21"/>
                <w:highlight w:val="none"/>
              </w:rPr>
              <w:t xml:space="preserve">叠缝，外露管口端面封闭；塑料件外观应无裂纹、明显变形、缩水、针孔；无划痕、毛刺、拉毛、污渍；无明显色差；苯、甲苯、二甲苯与总挥发性有机化合物（TVOC）未检出；可迁移有害元素含量锑Sb、砷As、镉Cd、铬Cr、汞Hg、硒Se未检出；承重180kg无损坏；符合GB/T 3325-2024《金属家具通用技术条件》、GB 28008-2024《家具结构安全技术规范》、GB 18584-2024《家具中有害物质限量》、QB/T 4071-2021《课桌椅》、GB/T 35607-2024《绿色产品评价 家具》标准。</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②椅背采用一体式流线造型，设置椭圆型通透镂空结构，通风散热效果优良；椅背整体具备柔性力学回弹结构支撑，受力可实现≥15° 自适应倾仰弯折，贴合人体倚靠坐姿，满足学习休憩双重使用需求，乘坐舒适不易疲劳。</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③椅座与支架连接部位采用三角力学稳固布局设计，多点位均衡分散承重应力；连接处采用高强度加固连接装配工艺，结构咬合紧密、受力均匀，经长期高频久坐使用，连接结构稳固不松动，整体结构强度与耐久性能满足校园常态化高强度使用标准。</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④椅背、椅座和框架多种颜色可选，并提供颜色样板供选择。</w:t>
            </w:r>
            <w:r/>
          </w:p>
          <w:p>
            <w:pPr>
              <w:pStyle w:val="939"/>
              <w:contextualSpacing/>
              <w:ind w:left="0" w:firstLine="0"/>
              <w:rPr>
                <w:bCs/>
                <w:color w:val="auto"/>
                <w:sz w:val="21"/>
                <w:szCs w:val="21"/>
                <w:highlight w:val="none"/>
              </w:rPr>
            </w:pPr>
            <w:r>
              <w:rPr>
                <w:rFonts w:hint="eastAsia"/>
                <w:bCs/>
                <w:color w:val="auto"/>
                <w:sz w:val="21"/>
                <w:szCs w:val="21"/>
                <w:highlight w:val="none"/>
              </w:rPr>
              <w:t xml:space="preserve">⑤四腿支撑结构，稳固，可轻松堆叠，方便二次运输。</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5</w:t>
            </w:r>
            <w:r>
              <w:rPr>
                <w:color w:val="auto"/>
                <w:highlight w:val="none"/>
              </w:rPr>
              <w:t xml:space="preserve">5</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电锯</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1、动力类型：电动</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2、重量：4kg</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3、功率：2800w</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4、无刷电机</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5、适用场景：物业茶树/大型绿化/轻修等</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5</w:t>
            </w:r>
            <w:r>
              <w:rPr>
                <w:color w:val="auto"/>
                <w:highlight w:val="none"/>
              </w:rPr>
              <w:t xml:space="preserve">6</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电动夯土机</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1、工作电压：220V</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2、电动功率：3KW</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3、单次冲击：</w:t>
            </w:r>
            <w:r>
              <w:rPr>
                <w:rFonts w:hint="eastAsia"/>
                <w:bCs/>
                <w:color w:val="auto"/>
                <w:sz w:val="21"/>
                <w:szCs w:val="21"/>
                <w:highlight w:val="none"/>
              </w:rPr>
              <w:t xml:space="preserve">≥</w:t>
            </w:r>
            <w:r>
              <w:rPr>
                <w:rFonts w:hint="eastAsia"/>
                <w:color w:val="auto"/>
                <w:sz w:val="21"/>
                <w:szCs w:val="21"/>
                <w:highlight w:val="none"/>
                <w:lang w:bidi="ar"/>
              </w:rPr>
              <w:t xml:space="preserve">1.5吨</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5</w:t>
            </w:r>
            <w:r>
              <w:rPr>
                <w:color w:val="auto"/>
                <w:highlight w:val="none"/>
              </w:rPr>
              <w:t xml:space="preserve">7</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激光水平仪</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激光等级：classII</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精度：±1mm</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产品重量：0.8kg</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5</w:t>
            </w:r>
            <w:r>
              <w:rPr>
                <w:color w:val="auto"/>
                <w:highlight w:val="none"/>
              </w:rPr>
              <w:t xml:space="preserve">8</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角磨机</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功率：2200W</w:t>
            </w:r>
            <w:r>
              <w:rPr>
                <w:rFonts w:hint="eastAsia"/>
                <w:color w:val="auto"/>
                <w:sz w:val="21"/>
                <w:szCs w:val="21"/>
                <w:highlight w:val="none"/>
                <w:lang w:val="en-US" w:bidi="ar"/>
              </w:rPr>
              <w:t xml:space="preserve">  </w:t>
            </w:r>
            <w:r>
              <w:rPr>
                <w:rFonts w:hint="eastAsia"/>
                <w:color w:val="auto"/>
                <w:sz w:val="21"/>
                <w:szCs w:val="21"/>
                <w:highlight w:val="none"/>
                <w:lang w:bidi="ar"/>
              </w:rPr>
              <w:t xml:space="preserve">回转数：</w:t>
            </w:r>
            <w:r>
              <w:rPr>
                <w:rFonts w:hint="eastAsia" w:asciiTheme="minorEastAsia" w:hAnsiTheme="minorEastAsia" w:eastAsiaTheme="minorEastAsia"/>
                <w:color w:val="auto"/>
                <w:sz w:val="21"/>
                <w:szCs w:val="21"/>
                <w:highlight w:val="none"/>
              </w:rPr>
              <w:t xml:space="preserve">≥</w:t>
            </w:r>
            <w:r>
              <w:rPr>
                <w:rFonts w:hint="eastAsia"/>
                <w:color w:val="auto"/>
                <w:sz w:val="21"/>
                <w:szCs w:val="21"/>
                <w:highlight w:val="none"/>
                <w:lang w:bidi="ar"/>
              </w:rPr>
              <w:t xml:space="preserve">6</w:t>
            </w:r>
            <w:r>
              <w:rPr>
                <w:rFonts w:hint="eastAsia"/>
                <w:color w:val="auto"/>
                <w:sz w:val="21"/>
                <w:szCs w:val="21"/>
                <w:highlight w:val="none"/>
                <w:lang w:val="en-US" w:bidi="ar"/>
              </w:rPr>
              <w:t xml:space="preserve">5</w:t>
            </w:r>
            <w:r>
              <w:rPr>
                <w:rFonts w:hint="eastAsia"/>
                <w:color w:val="auto"/>
                <w:sz w:val="21"/>
                <w:szCs w:val="21"/>
                <w:highlight w:val="none"/>
                <w:lang w:bidi="ar"/>
              </w:rPr>
              <w:t xml:space="preserve">00</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59</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电钻</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两电一充，配整套工具</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6</w:t>
            </w:r>
            <w:r>
              <w:rPr>
                <w:color w:val="auto"/>
                <w:highlight w:val="none"/>
              </w:rPr>
              <w:t xml:space="preserve">0</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电动曲线锯</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功率：</w:t>
            </w:r>
            <w:r>
              <w:rPr>
                <w:rFonts w:hint="eastAsia" w:asciiTheme="minorEastAsia" w:hAnsiTheme="minorEastAsia" w:eastAsiaTheme="minorEastAsia"/>
                <w:color w:val="auto"/>
                <w:sz w:val="21"/>
                <w:szCs w:val="21"/>
                <w:highlight w:val="none"/>
              </w:rPr>
              <w:t xml:space="preserve">≥</w:t>
            </w:r>
            <w:r>
              <w:rPr>
                <w:rFonts w:hint="eastAsia"/>
                <w:color w:val="auto"/>
                <w:sz w:val="21"/>
                <w:szCs w:val="21"/>
                <w:highlight w:val="none"/>
                <w:lang w:bidi="ar"/>
              </w:rPr>
              <w:t xml:space="preserve">7</w:t>
            </w:r>
            <w:r>
              <w:rPr>
                <w:rFonts w:hint="eastAsia"/>
                <w:color w:val="auto"/>
                <w:sz w:val="21"/>
                <w:szCs w:val="21"/>
                <w:highlight w:val="none"/>
                <w:lang w:val="en-US" w:bidi="ar"/>
              </w:rPr>
              <w:t xml:space="preserve">0</w:t>
            </w:r>
            <w:r>
              <w:rPr>
                <w:rFonts w:hint="eastAsia"/>
                <w:color w:val="auto"/>
                <w:sz w:val="21"/>
                <w:szCs w:val="21"/>
                <w:highlight w:val="none"/>
                <w:lang w:bidi="ar"/>
              </w:rPr>
              <w:t xml:space="preserve">0W</w:t>
            </w:r>
            <w:r>
              <w:rPr>
                <w:rFonts w:hint="eastAsia"/>
                <w:color w:val="auto"/>
                <w:sz w:val="21"/>
                <w:szCs w:val="21"/>
                <w:highlight w:val="none"/>
                <w:lang w:val="en-US" w:bidi="ar"/>
              </w:rPr>
              <w:t xml:space="preserve">  </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6</w:t>
            </w:r>
            <w:r>
              <w:rPr>
                <w:color w:val="auto"/>
                <w:highlight w:val="none"/>
              </w:rPr>
              <w:t xml:space="preserve">1</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木工圆锯机</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功率：2000W</w:t>
            </w:r>
            <w:r>
              <w:rPr>
                <w:rFonts w:hint="eastAsia"/>
                <w:color w:val="auto"/>
                <w:sz w:val="21"/>
                <w:szCs w:val="21"/>
                <w:highlight w:val="none"/>
                <w:lang w:val="en-US" w:bidi="ar"/>
              </w:rPr>
              <w:t xml:space="preserve">  </w:t>
            </w:r>
            <w:r>
              <w:rPr>
                <w:rFonts w:hint="eastAsia"/>
                <w:color w:val="auto"/>
                <w:sz w:val="21"/>
                <w:szCs w:val="21"/>
                <w:highlight w:val="none"/>
                <w:lang w:bidi="ar"/>
              </w:rPr>
              <w:t xml:space="preserve">回转数：</w:t>
            </w:r>
            <w:r>
              <w:rPr>
                <w:rFonts w:hint="eastAsia" w:asciiTheme="minorEastAsia" w:hAnsiTheme="minorEastAsia" w:eastAsiaTheme="minorEastAsia"/>
                <w:color w:val="auto"/>
                <w:sz w:val="21"/>
                <w:szCs w:val="21"/>
                <w:highlight w:val="none"/>
              </w:rPr>
              <w:t xml:space="preserve">≥</w:t>
            </w:r>
            <w:r>
              <w:rPr>
                <w:rFonts w:hint="eastAsia"/>
                <w:color w:val="auto"/>
                <w:sz w:val="21"/>
                <w:szCs w:val="21"/>
                <w:highlight w:val="none"/>
                <w:lang w:bidi="ar"/>
              </w:rPr>
              <w:t xml:space="preserve">4</w:t>
            </w:r>
            <w:r>
              <w:rPr>
                <w:rFonts w:hint="eastAsia"/>
                <w:color w:val="auto"/>
                <w:sz w:val="21"/>
                <w:szCs w:val="21"/>
                <w:highlight w:val="none"/>
                <w:lang w:val="en-US" w:bidi="ar"/>
              </w:rPr>
              <w:t xml:space="preserve">0</w:t>
            </w:r>
            <w:r>
              <w:rPr>
                <w:rFonts w:hint="eastAsia"/>
                <w:color w:val="auto"/>
                <w:sz w:val="21"/>
                <w:szCs w:val="21"/>
                <w:highlight w:val="none"/>
                <w:lang w:bidi="ar"/>
              </w:rPr>
              <w:t xml:space="preserve">00</w:t>
            </w:r>
            <w:r>
              <w:rPr>
                <w:rFonts w:hint="eastAsia"/>
                <w:color w:val="auto"/>
                <w:sz w:val="21"/>
                <w:szCs w:val="21"/>
                <w:highlight w:val="none"/>
                <w:lang w:val="en-US" w:bidi="ar"/>
              </w:rPr>
              <w:t xml:space="preserve">  </w:t>
            </w:r>
            <w:r>
              <w:rPr>
                <w:rFonts w:hint="eastAsia"/>
                <w:color w:val="auto"/>
                <w:sz w:val="21"/>
                <w:szCs w:val="21"/>
                <w:highlight w:val="none"/>
                <w:lang w:bidi="ar"/>
              </w:rPr>
              <w:t xml:space="preserve">净重：7.0kg</w:t>
            </w:r>
            <w:r>
              <w:rPr>
                <w:rFonts w:hint="eastAsia"/>
                <w:color w:val="auto"/>
                <w:sz w:val="21"/>
                <w:szCs w:val="21"/>
                <w:highlight w:val="none"/>
                <w:lang w:val="en-US" w:bidi="ar"/>
              </w:rPr>
              <w:t xml:space="preserve">  </w:t>
            </w:r>
            <w:r>
              <w:rPr>
                <w:rFonts w:hint="eastAsia"/>
                <w:color w:val="auto"/>
                <w:sz w:val="21"/>
                <w:szCs w:val="21"/>
                <w:highlight w:val="none"/>
                <w:lang w:bidi="ar"/>
              </w:rPr>
              <w:t xml:space="preserve">电源线：2.5m</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6</w:t>
            </w:r>
            <w:r>
              <w:rPr>
                <w:color w:val="auto"/>
                <w:highlight w:val="none"/>
              </w:rPr>
              <w:t xml:space="preserve">2</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固定式植物柜</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1、底盘底梁夹紧块3.0 MM热板，底盘采用整体焊接，表面喷塑，分段式结构。</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2、立板板1.0MM冷轧钢板,层数和间距可自由调整。</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3、搁板1.0MM冷轧钢板。</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4、顶板1.0MM冷轧钢板。</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5、中搁板1.0MM冷轧钢板.</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6、门板1.0MM冷轧钢板。</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7、侧护板1.0MM冷轧钢板。</w:t>
            </w:r>
            <w:r/>
          </w:p>
          <w:p>
            <w:pPr>
              <w:pStyle w:val="939"/>
              <w:contextualSpacing/>
              <w:ind w:left="0" w:firstLine="0"/>
              <w:rPr>
                <w:color w:val="auto"/>
                <w:sz w:val="21"/>
                <w:szCs w:val="21"/>
                <w:highlight w:val="none"/>
                <w:lang w:bidi="ar"/>
              </w:rPr>
            </w:pPr>
            <w:r>
              <w:rPr>
                <w:color w:val="auto"/>
                <w:sz w:val="21"/>
                <w:szCs w:val="21"/>
                <w:highlight w:val="none"/>
                <w:lang w:bidi="ar"/>
              </w:rPr>
              <w:t xml:space="preserve">8</w:t>
            </w:r>
            <w:r>
              <w:rPr>
                <w:rFonts w:hint="eastAsia"/>
                <w:color w:val="auto"/>
                <w:sz w:val="21"/>
                <w:szCs w:val="21"/>
                <w:highlight w:val="none"/>
                <w:lang w:bidi="ar"/>
              </w:rPr>
              <w:t xml:space="preserve">、在1.25米处有查看板（1.0MM冷轧钢板）</w:t>
            </w:r>
            <w:r/>
          </w:p>
          <w:p>
            <w:pPr>
              <w:pStyle w:val="939"/>
              <w:contextualSpacing/>
              <w:ind w:left="0" w:firstLine="0"/>
              <w:rPr>
                <w:color w:val="auto"/>
                <w:sz w:val="21"/>
                <w:szCs w:val="21"/>
                <w:highlight w:val="none"/>
                <w:lang w:bidi="ar"/>
              </w:rPr>
            </w:pPr>
            <w:r>
              <w:rPr>
                <w:color w:val="auto"/>
                <w:sz w:val="21"/>
                <w:szCs w:val="21"/>
                <w:highlight w:val="none"/>
                <w:lang w:bidi="ar"/>
              </w:rPr>
              <w:t xml:space="preserve">9</w:t>
            </w:r>
            <w:r>
              <w:rPr>
                <w:rFonts w:hint="eastAsia"/>
                <w:color w:val="auto"/>
                <w:sz w:val="21"/>
                <w:szCs w:val="21"/>
                <w:highlight w:val="none"/>
                <w:lang w:bidi="ar"/>
              </w:rPr>
              <w:t xml:space="preserve">、表面静电喷塑处理,喷塑前经严格去油除锈和磷化处理                         </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1</w:t>
            </w:r>
            <w:r>
              <w:rPr>
                <w:color w:val="auto"/>
                <w:sz w:val="21"/>
                <w:szCs w:val="21"/>
                <w:highlight w:val="none"/>
                <w:lang w:bidi="ar"/>
              </w:rPr>
              <w:t xml:space="preserve">0</w:t>
            </w:r>
            <w:r>
              <w:rPr>
                <w:rFonts w:hint="eastAsia"/>
                <w:color w:val="auto"/>
                <w:sz w:val="21"/>
                <w:szCs w:val="21"/>
                <w:highlight w:val="none"/>
                <w:lang w:bidi="ar"/>
              </w:rPr>
              <w:t xml:space="preserve">、每组架体为双面存放，每节柜子为10层，下面7层为一个对开门，上面3层为一个对开门。</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1</w:t>
            </w:r>
            <w:r>
              <w:rPr>
                <w:color w:val="auto"/>
                <w:sz w:val="21"/>
                <w:szCs w:val="21"/>
                <w:highlight w:val="none"/>
                <w:lang w:bidi="ar"/>
              </w:rPr>
              <w:t xml:space="preserve">1</w:t>
            </w:r>
            <w:r>
              <w:rPr>
                <w:rFonts w:hint="eastAsia"/>
                <w:color w:val="auto"/>
                <w:sz w:val="21"/>
                <w:szCs w:val="21"/>
                <w:highlight w:val="none"/>
                <w:lang w:bidi="ar"/>
              </w:rPr>
              <w:t xml:space="preserve">、</w:t>
            </w:r>
            <w:r>
              <w:rPr>
                <w:rFonts w:hint="eastAsia"/>
                <w:color w:val="auto"/>
                <w:sz w:val="21"/>
                <w:szCs w:val="21"/>
                <w:highlight w:val="none"/>
                <w:lang w:val="en-US" w:bidi="ar"/>
              </w:rPr>
              <w:t xml:space="preserve">尺寸：</w:t>
            </w:r>
            <w:r>
              <w:rPr>
                <w:rFonts w:hint="eastAsia" w:asciiTheme="minorEastAsia" w:hAnsiTheme="minorEastAsia" w:eastAsiaTheme="minorEastAsia"/>
                <w:color w:val="auto"/>
                <w:sz w:val="21"/>
                <w:szCs w:val="21"/>
                <w:highlight w:val="none"/>
              </w:rPr>
              <w:t xml:space="preserve">≥</w:t>
            </w:r>
            <w:r>
              <w:rPr>
                <w:rFonts w:hint="eastAsia"/>
                <w:color w:val="auto"/>
                <w:sz w:val="21"/>
                <w:szCs w:val="21"/>
                <w:highlight w:val="none"/>
                <w:lang w:bidi="ar"/>
              </w:rPr>
              <w:t xml:space="preserve">长42</w:t>
            </w:r>
            <w:r>
              <w:rPr>
                <w:rFonts w:hint="eastAsia"/>
                <w:color w:val="auto"/>
                <w:sz w:val="21"/>
                <w:szCs w:val="21"/>
                <w:highlight w:val="none"/>
                <w:lang w:val="en-US" w:bidi="ar"/>
              </w:rPr>
              <w:t xml:space="preserve">0</w:t>
            </w:r>
            <w:r>
              <w:rPr>
                <w:rFonts w:hint="eastAsia"/>
                <w:color w:val="auto"/>
                <w:sz w:val="21"/>
                <w:szCs w:val="21"/>
                <w:highlight w:val="none"/>
                <w:lang w:bidi="ar"/>
              </w:rPr>
              <w:t xml:space="preserve">0*宽900*高24</w:t>
            </w:r>
            <w:r>
              <w:rPr>
                <w:rFonts w:hint="eastAsia"/>
                <w:color w:val="auto"/>
                <w:sz w:val="21"/>
                <w:szCs w:val="21"/>
                <w:highlight w:val="none"/>
                <w:lang w:val="en-US" w:bidi="ar"/>
              </w:rPr>
              <w:t xml:space="preserve">0</w:t>
            </w:r>
            <w:r>
              <w:rPr>
                <w:rFonts w:hint="eastAsia"/>
                <w:color w:val="auto"/>
                <w:sz w:val="21"/>
                <w:szCs w:val="21"/>
                <w:highlight w:val="none"/>
                <w:lang w:bidi="ar"/>
              </w:rPr>
              <w:t xml:space="preserve">0</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6</w:t>
            </w:r>
            <w:r>
              <w:rPr>
                <w:color w:val="auto"/>
                <w:highlight w:val="none"/>
              </w:rPr>
              <w:t xml:space="preserve">3</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固定式昆虫柜</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1、底盘底梁夹紧块3.0 MM热板，底盘采用整体焊接，表面喷塑，分段式结构。                                                                       </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2、在1.25米处有查看板（1.0MM冷轧钢板）。                                                                                             </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3、表面静电喷塑处理,喷塑前经严格去油除锈和磷化处理</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4、立柱1.5MM冷轧钢板，顶板1.0MM冷轧钢板， 挂板1.0MM冷轧钢板，侧护板1.0MM冷轧钢板。                            </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5、搁板1.0MM冷轧钢板。                          </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6、中搁板1.0MM冷轧钢板.                                                            </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7、每组架体为双面存放，每节柜子为14层，每层放置2个长500*宽400*高55mm昆虫标本木盒。</w:t>
            </w:r>
            <w:r/>
          </w:p>
          <w:p>
            <w:pPr>
              <w:pStyle w:val="880"/>
              <w:rPr>
                <w:color w:val="auto"/>
                <w:sz w:val="21"/>
                <w:szCs w:val="21"/>
                <w:highlight w:val="none"/>
              </w:rPr>
            </w:pPr>
            <w:r>
              <w:rPr>
                <w:rFonts w:hint="eastAsia"/>
                <w:color w:val="auto"/>
                <w:sz w:val="21"/>
                <w:szCs w:val="21"/>
                <w:highlight w:val="none"/>
                <w:lang w:bidi="ar"/>
              </w:rPr>
              <w:t xml:space="preserve">8、</w:t>
            </w:r>
            <w:r>
              <w:rPr>
                <w:rFonts w:hint="eastAsia"/>
                <w:color w:val="auto"/>
                <w:sz w:val="21"/>
                <w:szCs w:val="21"/>
                <w:highlight w:val="none"/>
                <w:lang w:val="en-US" w:bidi="ar"/>
              </w:rPr>
              <w:t xml:space="preserve">尺寸：</w:t>
            </w:r>
            <w:r>
              <w:rPr>
                <w:rFonts w:hint="eastAsia" w:asciiTheme="minorEastAsia" w:hAnsiTheme="minorEastAsia" w:eastAsiaTheme="minorEastAsia"/>
                <w:color w:val="auto"/>
                <w:sz w:val="21"/>
                <w:szCs w:val="21"/>
                <w:highlight w:val="none"/>
              </w:rPr>
              <w:t xml:space="preserve">≥</w:t>
            </w:r>
            <w:r>
              <w:rPr>
                <w:rFonts w:hint="eastAsia"/>
                <w:color w:val="auto"/>
                <w:sz w:val="21"/>
                <w:szCs w:val="21"/>
                <w:highlight w:val="none"/>
                <w:lang w:bidi="ar"/>
              </w:rPr>
              <w:t xml:space="preserve">长25</w:t>
            </w:r>
            <w:r>
              <w:rPr>
                <w:rFonts w:hint="eastAsia"/>
                <w:color w:val="auto"/>
                <w:sz w:val="21"/>
                <w:szCs w:val="21"/>
                <w:highlight w:val="none"/>
                <w:lang w:val="en-US" w:bidi="ar"/>
              </w:rPr>
              <w:t xml:space="preserve">00</w:t>
            </w:r>
            <w:r>
              <w:rPr>
                <w:rFonts w:hint="eastAsia"/>
                <w:color w:val="auto"/>
                <w:sz w:val="21"/>
                <w:szCs w:val="21"/>
                <w:highlight w:val="none"/>
                <w:lang w:bidi="ar"/>
              </w:rPr>
              <w:t xml:space="preserve">*宽900*高24</w:t>
            </w:r>
            <w:r>
              <w:rPr>
                <w:rFonts w:hint="eastAsia"/>
                <w:color w:val="auto"/>
                <w:sz w:val="21"/>
                <w:szCs w:val="21"/>
                <w:highlight w:val="none"/>
                <w:lang w:val="en-US" w:bidi="ar"/>
              </w:rPr>
              <w:t xml:space="preserve">0</w:t>
            </w:r>
            <w:r>
              <w:rPr>
                <w:rFonts w:hint="eastAsia"/>
                <w:color w:val="auto"/>
                <w:sz w:val="21"/>
                <w:szCs w:val="21"/>
                <w:highlight w:val="none"/>
                <w:lang w:bidi="ar"/>
              </w:rPr>
              <w:t xml:space="preserve">0</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6</w:t>
            </w:r>
            <w:r>
              <w:rPr>
                <w:color w:val="auto"/>
                <w:highlight w:val="none"/>
              </w:rPr>
              <w:t xml:space="preserve">4</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琥珀植物标本板</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1. 食品级环保透明塑料材质．</w:t>
            </w:r>
            <w:r/>
          </w:p>
          <w:p>
            <w:pPr>
              <w:pStyle w:val="939"/>
              <w:contextualSpacing/>
              <w:ind w:left="0" w:firstLine="0"/>
              <w:rPr>
                <w:strike/>
                <w:color w:val="auto"/>
                <w:sz w:val="21"/>
                <w:szCs w:val="21"/>
                <w:highlight w:val="none"/>
                <w:lang w:bidi="ar"/>
              </w:rPr>
            </w:pPr>
            <w:r>
              <w:rPr>
                <w:rFonts w:hint="eastAsia"/>
                <w:color w:val="auto"/>
                <w:sz w:val="21"/>
                <w:szCs w:val="21"/>
                <w:highlight w:val="none"/>
                <w:lang w:bidi="ar"/>
              </w:rPr>
              <w:t xml:space="preserve">3. 环保，免漆．不含甲醛，易降解</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4. 弯曲性好.耐潮耐压.</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5. 不黄变，不变型．室内保用10年．</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8. 防火等级B1级.</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9. 含定制植物标本。</w:t>
            </w:r>
            <w:r/>
          </w:p>
          <w:p>
            <w:pPr>
              <w:pStyle w:val="880"/>
              <w:rPr>
                <w:color w:val="auto"/>
                <w:sz w:val="21"/>
                <w:szCs w:val="21"/>
                <w:highlight w:val="none"/>
              </w:rPr>
            </w:pPr>
            <w:r>
              <w:rPr>
                <w:rFonts w:hint="eastAsia"/>
                <w:color w:val="auto"/>
                <w:sz w:val="21"/>
                <w:szCs w:val="21"/>
                <w:highlight w:val="none"/>
                <w:lang w:bidi="ar"/>
              </w:rPr>
              <w:t xml:space="preserve">10. 39</w:t>
            </w:r>
            <w:r>
              <w:rPr>
                <w:rFonts w:hint="eastAsia"/>
                <w:color w:val="auto"/>
                <w:sz w:val="21"/>
                <w:szCs w:val="21"/>
                <w:highlight w:val="none"/>
                <w:lang w:val="en-US" w:bidi="ar"/>
              </w:rPr>
              <w:t xml:space="preserve">0</w:t>
            </w:r>
            <w:r>
              <w:rPr>
                <w:rFonts w:hint="eastAsia"/>
                <w:color w:val="auto"/>
                <w:sz w:val="21"/>
                <w:szCs w:val="21"/>
                <w:highlight w:val="none"/>
                <w:lang w:bidi="ar"/>
              </w:rPr>
              <w:t xml:space="preserve">*29</w:t>
            </w:r>
            <w:r>
              <w:rPr>
                <w:rFonts w:hint="eastAsia"/>
                <w:color w:val="auto"/>
                <w:sz w:val="21"/>
                <w:szCs w:val="21"/>
                <w:highlight w:val="none"/>
                <w:lang w:val="en-US" w:bidi="ar"/>
              </w:rPr>
              <w:t xml:space="preserve">0</w:t>
            </w:r>
            <w:r>
              <w:rPr>
                <w:rFonts w:hint="eastAsia"/>
                <w:color w:val="auto"/>
                <w:sz w:val="21"/>
                <w:szCs w:val="21"/>
                <w:highlight w:val="none"/>
                <w:lang w:bidi="ar"/>
              </w:rPr>
              <w:t xml:space="preserve">mm(也可根据现场情况调整尺寸))</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6</w:t>
            </w:r>
            <w:r>
              <w:rPr>
                <w:color w:val="auto"/>
                <w:highlight w:val="none"/>
              </w:rPr>
              <w:t xml:space="preserve">5</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定制收纳柜</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1、外型尺寸：高2400mm*宽1000mm*深450mm </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3、所有钢板均采用一级冷轧钢板，厚1.0mm。</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4、扣手采用不锈钢拉手。</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5、柜体内层板可自由调节。</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6、锁具锁芯可更换。</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7、不锈钢铰链。</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8、柜体表面静电喷塑。</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6</w:t>
            </w:r>
            <w:r>
              <w:rPr>
                <w:color w:val="auto"/>
                <w:highlight w:val="none"/>
              </w:rPr>
              <w:t xml:space="preserve">6</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电子天平秤</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最大称量5000g，精度0.1g；具备单位换算、智能计数、过载保护、自动校准功能</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6</w:t>
            </w:r>
            <w:r>
              <w:rPr>
                <w:color w:val="auto"/>
                <w:highlight w:val="none"/>
              </w:rPr>
              <w:t xml:space="preserve">7</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修枝剪</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刃长55mm，全长185mm，材质高碳工具钢，钢芯透柄，剪切直径12mm</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6</w:t>
            </w:r>
            <w:r>
              <w:rPr>
                <w:color w:val="auto"/>
                <w:highlight w:val="none"/>
              </w:rPr>
              <w:t xml:space="preserve">8</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手动喷雾器</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20L背负式，配不锈钢伸缩杆，不锈钢单喷头，0.6-3.5米伸缩杆</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69</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整理箱</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透明款，塑料材质，530*380*245mm</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7</w:t>
            </w:r>
            <w:r>
              <w:rPr>
                <w:color w:val="auto"/>
                <w:highlight w:val="none"/>
              </w:rPr>
              <w:t xml:space="preserve">0</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水桶</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加厚大号蓝色水桶，22L，34cm*30.5cm</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7</w:t>
            </w:r>
            <w:r>
              <w:rPr>
                <w:color w:val="auto"/>
                <w:highlight w:val="none"/>
              </w:rPr>
              <w:t xml:space="preserve">1</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药品柜</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900*500*1800mm</w:t>
            </w:r>
            <w:r/>
          </w:p>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PP双门或四门，防腐蚀，带玻璃，便于查看</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7</w:t>
            </w:r>
            <w:r>
              <w:rPr>
                <w:color w:val="auto"/>
                <w:highlight w:val="none"/>
              </w:rPr>
              <w:t xml:space="preserve">2</w:t>
            </w:r>
            <w:r/>
          </w:p>
        </w:tc>
        <w:tc>
          <w:tcPr>
            <w:tcW w:w="1701" w:type="dxa"/>
            <w:vAlign w:val="center"/>
            <w:textDirection w:val="lrTb"/>
            <w:noWrap w:val="false"/>
          </w:tcPr>
          <w:p>
            <w:pPr>
              <w:widowControl/>
              <w:rPr>
                <w:color w:val="auto"/>
                <w:highlight w:val="none"/>
                <w:lang w:bidi="ar"/>
              </w:rPr>
            </w:pPr>
            <w:r>
              <w:rPr>
                <w:rFonts w:hint="eastAsia"/>
                <w:color w:val="auto"/>
                <w:highlight w:val="none"/>
                <w:lang w:bidi="ar"/>
              </w:rPr>
              <w:t xml:space="preserve">烧杯50mL</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50mL，玻璃耗材</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7</w:t>
            </w:r>
            <w:r>
              <w:rPr>
                <w:color w:val="auto"/>
                <w:highlight w:val="none"/>
              </w:rPr>
              <w:t xml:space="preserve">3</w:t>
            </w:r>
            <w:r/>
          </w:p>
        </w:tc>
        <w:tc>
          <w:tcPr>
            <w:tcW w:w="1701" w:type="dxa"/>
            <w:vAlign w:val="center"/>
            <w:textDirection w:val="lrTb"/>
            <w:noWrap w:val="false"/>
          </w:tcPr>
          <w:p>
            <w:pPr>
              <w:widowControl/>
              <w:rPr>
                <w:color w:val="auto"/>
                <w:highlight w:val="none"/>
                <w:lang w:bidi="ar"/>
              </w:rPr>
            </w:pPr>
            <w:r>
              <w:rPr>
                <w:rFonts w:ascii="Times New Roman" w:hAnsi="Times New Roman" w:cs="Times New Roman"/>
                <w:color w:val="auto"/>
                <w:highlight w:val="none"/>
              </w:rPr>
              <w:t xml:space="preserve">烧杯100mL</w:t>
            </w:r>
            <w:r/>
          </w:p>
        </w:tc>
        <w:tc>
          <w:tcPr>
            <w:tcW w:w="7796" w:type="dxa"/>
            <w:vAlign w:val="center"/>
            <w:textDirection w:val="lrTb"/>
            <w:noWrap w:val="false"/>
          </w:tcPr>
          <w:p>
            <w:pPr>
              <w:pStyle w:val="939"/>
              <w:contextualSpacing/>
              <w:ind w:left="0" w:firstLine="0"/>
              <w:rPr>
                <w:color w:val="auto"/>
                <w:sz w:val="21"/>
                <w:szCs w:val="21"/>
                <w:highlight w:val="none"/>
                <w:lang w:bidi="ar"/>
              </w:rPr>
            </w:pPr>
            <w:r>
              <w:rPr>
                <w:color w:val="auto"/>
                <w:sz w:val="21"/>
                <w:szCs w:val="21"/>
                <w:highlight w:val="none"/>
              </w:rPr>
              <w:t xml:space="preserve">100mL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7</w:t>
            </w:r>
            <w:r>
              <w:rPr>
                <w:color w:val="auto"/>
                <w:highlight w:val="none"/>
              </w:rPr>
              <w:t xml:space="preserve">4</w:t>
            </w:r>
            <w:r/>
          </w:p>
        </w:tc>
        <w:tc>
          <w:tcPr>
            <w:tcW w:w="1701" w:type="dxa"/>
            <w:vAlign w:val="center"/>
            <w:textDirection w:val="lrTb"/>
            <w:noWrap w:val="false"/>
          </w:tcPr>
          <w:p>
            <w:pPr>
              <w:widowControl/>
              <w:rPr>
                <w:color w:val="auto"/>
                <w:highlight w:val="none"/>
                <w:lang w:bidi="ar"/>
              </w:rPr>
            </w:pPr>
            <w:r>
              <w:rPr>
                <w:rFonts w:ascii="Times New Roman" w:hAnsi="Times New Roman" w:cs="Times New Roman"/>
                <w:color w:val="auto"/>
                <w:highlight w:val="none"/>
              </w:rPr>
              <w:t xml:space="preserve">烧杯250mL</w:t>
            </w:r>
            <w:r/>
          </w:p>
        </w:tc>
        <w:tc>
          <w:tcPr>
            <w:tcW w:w="7796" w:type="dxa"/>
            <w:vAlign w:val="center"/>
            <w:textDirection w:val="lrTb"/>
            <w:noWrap w:val="false"/>
          </w:tcPr>
          <w:p>
            <w:pPr>
              <w:pStyle w:val="939"/>
              <w:contextualSpacing/>
              <w:ind w:left="0" w:firstLine="0"/>
              <w:rPr>
                <w:color w:val="auto"/>
                <w:sz w:val="21"/>
                <w:szCs w:val="21"/>
                <w:highlight w:val="none"/>
                <w:lang w:bidi="ar"/>
              </w:rPr>
            </w:pPr>
            <w:r>
              <w:rPr>
                <w:color w:val="auto"/>
                <w:sz w:val="21"/>
                <w:szCs w:val="21"/>
                <w:highlight w:val="none"/>
              </w:rPr>
              <w:t xml:space="preserve">250mL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7</w:t>
            </w:r>
            <w:r>
              <w:rPr>
                <w:color w:val="auto"/>
                <w:highlight w:val="none"/>
              </w:rPr>
              <w:t xml:space="preserve">5</w:t>
            </w:r>
            <w:r/>
          </w:p>
        </w:tc>
        <w:tc>
          <w:tcPr>
            <w:tcW w:w="1701" w:type="dxa"/>
            <w:vAlign w:val="center"/>
            <w:textDirection w:val="lrTb"/>
            <w:noWrap w:val="false"/>
          </w:tcPr>
          <w:p>
            <w:pPr>
              <w:widowControl/>
              <w:rPr>
                <w:color w:val="auto"/>
                <w:highlight w:val="none"/>
                <w:lang w:bidi="ar"/>
              </w:rPr>
            </w:pPr>
            <w:r>
              <w:rPr>
                <w:color w:val="auto"/>
                <w:highlight w:val="none"/>
              </w:rPr>
              <w:t xml:space="preserve">烧杯500mL</w:t>
            </w:r>
            <w:r/>
          </w:p>
        </w:tc>
        <w:tc>
          <w:tcPr>
            <w:tcW w:w="7796" w:type="dxa"/>
            <w:vAlign w:val="center"/>
            <w:textDirection w:val="lrTb"/>
            <w:noWrap w:val="false"/>
          </w:tcPr>
          <w:p>
            <w:pPr>
              <w:pStyle w:val="939"/>
              <w:contextualSpacing/>
              <w:ind w:left="0" w:firstLine="0"/>
              <w:rPr>
                <w:color w:val="auto"/>
                <w:sz w:val="21"/>
                <w:szCs w:val="21"/>
                <w:highlight w:val="none"/>
                <w:lang w:bidi="ar"/>
              </w:rPr>
            </w:pPr>
            <w:r>
              <w:rPr>
                <w:color w:val="auto"/>
                <w:sz w:val="21"/>
                <w:szCs w:val="21"/>
                <w:highlight w:val="none"/>
              </w:rPr>
              <w:t xml:space="preserve">500mL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7</w:t>
            </w:r>
            <w:r>
              <w:rPr>
                <w:color w:val="auto"/>
                <w:highlight w:val="none"/>
              </w:rPr>
              <w:t xml:space="preserve">6</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烧杯1L</w:t>
            </w:r>
            <w:r/>
          </w:p>
        </w:tc>
        <w:tc>
          <w:tcPr>
            <w:shd w:val="clear" w:color="auto" w:fill="auto"/>
            <w:tcW w:w="7796" w:type="dxa"/>
            <w:vAlign w:val="center"/>
            <w:textDirection w:val="lrTb"/>
            <w:noWrap w:val="false"/>
          </w:tcPr>
          <w:p>
            <w:pPr>
              <w:contextualSpacing/>
              <w:widowControl/>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7</w:t>
            </w:r>
            <w:r>
              <w:rPr>
                <w:color w:val="auto"/>
                <w:highlight w:val="none"/>
              </w:rPr>
              <w:t xml:space="preserve">7</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烧杯2L</w:t>
            </w:r>
            <w:r/>
          </w:p>
        </w:tc>
        <w:tc>
          <w:tcPr>
            <w:shd w:val="clear" w:color="auto" w:fill="auto"/>
            <w:tcW w:w="7796" w:type="dxa"/>
            <w:vAlign w:val="center"/>
            <w:textDirection w:val="lrTb"/>
            <w:noWrap w:val="false"/>
          </w:tcPr>
          <w:p>
            <w:pPr>
              <w:contextualSpacing/>
              <w:widowControl/>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7</w:t>
            </w:r>
            <w:r>
              <w:rPr>
                <w:color w:val="auto"/>
                <w:highlight w:val="none"/>
              </w:rPr>
              <w:t xml:space="preserve">8</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烧杯5L</w:t>
            </w:r>
            <w:r/>
          </w:p>
        </w:tc>
        <w:tc>
          <w:tcPr>
            <w:shd w:val="clear" w:color="auto" w:fill="auto"/>
            <w:tcW w:w="7796" w:type="dxa"/>
            <w:vAlign w:val="center"/>
            <w:textDirection w:val="lrTb"/>
            <w:noWrap w:val="false"/>
          </w:tcPr>
          <w:p>
            <w:pPr>
              <w:contextualSpacing/>
              <w:widowControl/>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5L</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79</w:t>
            </w:r>
            <w:r/>
          </w:p>
        </w:tc>
        <w:tc>
          <w:tcPr>
            <w:shd w:val="clear" w:color="auto" w:fill="auto"/>
            <w:tcW w:w="1701"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锥形瓶250mL</w:t>
            </w:r>
            <w:r/>
          </w:p>
        </w:tc>
        <w:tc>
          <w:tcPr>
            <w:shd w:val="clear" w:color="auto" w:fill="auto"/>
            <w:tcW w:w="7796" w:type="dxa"/>
            <w:vAlign w:val="center"/>
            <w:textDirection w:val="lrTb"/>
            <w:noWrap w:val="false"/>
          </w:tcPr>
          <w:p>
            <w:pPr>
              <w:contextualSpacing/>
              <w:widowControl/>
              <w:rPr>
                <w:color w:val="auto"/>
                <w:sz w:val="21"/>
                <w:szCs w:val="21"/>
                <w:highlight w:val="none"/>
              </w:rPr>
            </w:pPr>
            <w:r>
              <w:rPr>
                <w:rFonts w:ascii="Times New Roman" w:hAnsi="Times New Roman" w:cs="Times New Roman"/>
                <w:color w:val="auto"/>
                <w:sz w:val="21"/>
                <w:szCs w:val="21"/>
                <w:highlight w:val="none"/>
              </w:rPr>
              <w:t xml:space="preserve">250mL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8</w:t>
            </w:r>
            <w:r>
              <w:rPr>
                <w:color w:val="auto"/>
                <w:highlight w:val="none"/>
              </w:rPr>
              <w:t xml:space="preserve">0</w:t>
            </w:r>
            <w:r/>
          </w:p>
        </w:tc>
        <w:tc>
          <w:tcPr>
            <w:shd w:val="clear" w:color="auto" w:fill="auto"/>
            <w:tcW w:w="1701"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容量瓶50mL</w:t>
            </w:r>
            <w:r/>
          </w:p>
        </w:tc>
        <w:tc>
          <w:tcPr>
            <w:shd w:val="clear" w:color="auto" w:fill="auto"/>
            <w:tcW w:w="7796" w:type="dxa"/>
            <w:vAlign w:val="center"/>
            <w:textDirection w:val="lrTb"/>
            <w:noWrap w:val="false"/>
          </w:tcPr>
          <w:p>
            <w:pPr>
              <w:contextualSpacing/>
              <w:widowControl/>
              <w:rPr>
                <w:color w:val="auto"/>
                <w:sz w:val="21"/>
                <w:szCs w:val="21"/>
                <w:highlight w:val="none"/>
              </w:rPr>
            </w:pPr>
            <w:r>
              <w:rPr>
                <w:rFonts w:ascii="Times New Roman" w:hAnsi="Times New Roman" w:cs="Times New Roman"/>
                <w:color w:val="auto"/>
                <w:sz w:val="21"/>
                <w:szCs w:val="21"/>
                <w:highlight w:val="none"/>
              </w:rPr>
              <w:t xml:space="preserve">50mL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8</w:t>
            </w:r>
            <w:r>
              <w:rPr>
                <w:color w:val="auto"/>
                <w:highlight w:val="none"/>
              </w:rPr>
              <w:t xml:space="preserve">1</w:t>
            </w:r>
            <w:r/>
          </w:p>
        </w:tc>
        <w:tc>
          <w:tcPr>
            <w:shd w:val="clear" w:color="auto" w:fill="auto"/>
            <w:tcW w:w="1701"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容量瓶100mL</w:t>
            </w:r>
            <w:r/>
          </w:p>
        </w:tc>
        <w:tc>
          <w:tcPr>
            <w:shd w:val="clear" w:color="auto" w:fill="auto"/>
            <w:tcW w:w="7796" w:type="dxa"/>
            <w:vAlign w:val="center"/>
            <w:textDirection w:val="lrTb"/>
            <w:noWrap w:val="false"/>
          </w:tcPr>
          <w:p>
            <w:pPr>
              <w:contextualSpacing/>
              <w:widowControl/>
              <w:rPr>
                <w:color w:val="auto"/>
                <w:sz w:val="21"/>
                <w:szCs w:val="21"/>
                <w:highlight w:val="none"/>
              </w:rPr>
            </w:pPr>
            <w:r>
              <w:rPr>
                <w:rFonts w:ascii="Times New Roman" w:hAnsi="Times New Roman" w:cs="Times New Roman"/>
                <w:color w:val="auto"/>
                <w:sz w:val="21"/>
                <w:szCs w:val="21"/>
                <w:highlight w:val="none"/>
              </w:rPr>
              <w:t xml:space="preserve">100mL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8</w:t>
            </w:r>
            <w:r>
              <w:rPr>
                <w:color w:val="auto"/>
                <w:highlight w:val="none"/>
              </w:rPr>
              <w:t xml:space="preserve">2</w:t>
            </w:r>
            <w:r/>
          </w:p>
        </w:tc>
        <w:tc>
          <w:tcPr>
            <w:shd w:val="clear" w:color="auto" w:fill="auto"/>
            <w:tcW w:w="1701" w:type="dxa"/>
            <w:vAlign w:val="center"/>
            <w:textDirection w:val="lrTb"/>
            <w:noWrap w:val="false"/>
          </w:tcPr>
          <w:p>
            <w:pPr>
              <w:jc w:val="center"/>
              <w:widowControl/>
              <w:rPr>
                <w:color w:val="auto"/>
                <w:highlight w:val="none"/>
              </w:rPr>
            </w:pPr>
            <w:r>
              <w:rPr>
                <w:rFonts w:ascii="Times New Roman" w:hAnsi="Times New Roman" w:cs="Times New Roman"/>
                <w:color w:val="auto"/>
                <w:highlight w:val="none"/>
              </w:rPr>
              <w:t xml:space="preserve">容量瓶200mL</w:t>
            </w:r>
            <w:r/>
          </w:p>
        </w:tc>
        <w:tc>
          <w:tcPr>
            <w:shd w:val="clear" w:color="auto" w:fill="auto"/>
            <w:tcW w:w="7796" w:type="dxa"/>
            <w:vAlign w:val="center"/>
            <w:textDirection w:val="lrTb"/>
            <w:noWrap w:val="false"/>
          </w:tcPr>
          <w:p>
            <w:pPr>
              <w:contextualSpacing/>
              <w:widowControl/>
              <w:rPr>
                <w:color w:val="auto"/>
                <w:sz w:val="21"/>
                <w:szCs w:val="21"/>
                <w:highlight w:val="none"/>
              </w:rPr>
            </w:pPr>
            <w:r>
              <w:rPr>
                <w:rFonts w:ascii="Times New Roman" w:hAnsi="Times New Roman" w:cs="Times New Roman"/>
                <w:color w:val="auto"/>
                <w:sz w:val="21"/>
                <w:szCs w:val="21"/>
                <w:highlight w:val="none"/>
              </w:rPr>
              <w:t xml:space="preserve">200mL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8</w:t>
            </w:r>
            <w:r>
              <w:rPr>
                <w:color w:val="auto"/>
                <w:highlight w:val="none"/>
              </w:rPr>
              <w:t xml:space="preserve">3</w:t>
            </w:r>
            <w:r/>
          </w:p>
        </w:tc>
        <w:tc>
          <w:tcPr>
            <w:shd w:val="clear" w:color="auto" w:fill="auto"/>
            <w:tcW w:w="1701" w:type="dxa"/>
            <w:vAlign w:val="center"/>
            <w:textDirection w:val="lrTb"/>
            <w:noWrap w:val="false"/>
          </w:tcPr>
          <w:p>
            <w:pPr>
              <w:widowControl/>
              <w:rPr>
                <w:color w:val="auto"/>
                <w:highlight w:val="none"/>
              </w:rPr>
            </w:pPr>
            <w:r>
              <w:rPr>
                <w:rFonts w:ascii="Times New Roman" w:hAnsi="Times New Roman" w:cs="Times New Roman"/>
                <w:color w:val="auto"/>
                <w:highlight w:val="none"/>
              </w:rPr>
              <w:t xml:space="preserve">容量瓶1000mL</w:t>
            </w:r>
            <w:r/>
          </w:p>
        </w:tc>
        <w:tc>
          <w:tcPr>
            <w:shd w:val="clear" w:color="auto" w:fill="auto"/>
            <w:tcW w:w="7796" w:type="dxa"/>
            <w:vAlign w:val="center"/>
            <w:textDirection w:val="lrTb"/>
            <w:noWrap w:val="false"/>
          </w:tcPr>
          <w:p>
            <w:pPr>
              <w:contextualSpacing/>
              <w:widowControl/>
              <w:rPr>
                <w:color w:val="auto"/>
                <w:sz w:val="21"/>
                <w:szCs w:val="21"/>
                <w:highlight w:val="none"/>
              </w:rPr>
            </w:pPr>
            <w:r>
              <w:rPr>
                <w:rFonts w:ascii="Times New Roman" w:hAnsi="Times New Roman" w:cs="Times New Roman"/>
                <w:color w:val="auto"/>
                <w:sz w:val="21"/>
                <w:szCs w:val="21"/>
                <w:highlight w:val="none"/>
              </w:rPr>
              <w:t xml:space="preserve">1000mL</w:t>
            </w:r>
            <w:r/>
          </w:p>
        </w:tc>
      </w:tr>
      <w:tr>
        <w:trPr>
          <w:trHeight w:val="894"/>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8</w:t>
            </w:r>
            <w:r>
              <w:rPr>
                <w:color w:val="auto"/>
                <w:highlight w:val="none"/>
              </w:rPr>
              <w:t xml:space="preserve">4</w:t>
            </w:r>
            <w:r/>
          </w:p>
        </w:tc>
        <w:tc>
          <w:tcPr>
            <w:shd w:val="clear" w:color="auto" w:fill="auto"/>
            <w:tcW w:w="1701" w:type="dxa"/>
            <w:vAlign w:val="center"/>
            <w:textDirection w:val="lrTb"/>
            <w:noWrap w:val="false"/>
          </w:tcPr>
          <w:p>
            <w:pPr>
              <w:widowControl/>
              <w:rPr>
                <w:color w:val="auto"/>
                <w:highlight w:val="none"/>
              </w:rPr>
            </w:pPr>
            <w:r>
              <w:rPr>
                <w:rFonts w:ascii="Times New Roman" w:hAnsi="Times New Roman" w:cs="Times New Roman"/>
                <w:color w:val="auto"/>
                <w:highlight w:val="none"/>
              </w:rPr>
              <w:t xml:space="preserve">容量瓶2000mL</w:t>
            </w:r>
            <w:r/>
          </w:p>
        </w:tc>
        <w:tc>
          <w:tcPr>
            <w:shd w:val="clear" w:color="auto" w:fill="auto"/>
            <w:tcW w:w="7796" w:type="dxa"/>
            <w:vAlign w:val="center"/>
            <w:textDirection w:val="lrTb"/>
            <w:noWrap w:val="false"/>
          </w:tcPr>
          <w:p>
            <w:pPr>
              <w:contextualSpacing/>
              <w:widowControl/>
              <w:rPr>
                <w:color w:val="auto"/>
                <w:sz w:val="21"/>
                <w:szCs w:val="21"/>
                <w:highlight w:val="none"/>
              </w:rPr>
            </w:pPr>
            <w:r>
              <w:rPr>
                <w:rFonts w:ascii="Times New Roman" w:hAnsi="Times New Roman" w:cs="Times New Roman"/>
                <w:color w:val="auto"/>
                <w:sz w:val="21"/>
                <w:szCs w:val="21"/>
                <w:highlight w:val="none"/>
              </w:rPr>
              <w:t xml:space="preserve">2000mL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8</w:t>
            </w:r>
            <w:r>
              <w:rPr>
                <w:color w:val="auto"/>
                <w:highlight w:val="none"/>
              </w:rPr>
              <w:t xml:space="preserve">5</w:t>
            </w:r>
            <w:r/>
          </w:p>
        </w:tc>
        <w:tc>
          <w:tcPr>
            <w:shd w:val="clear" w:color="auto" w:fill="auto"/>
            <w:tcW w:w="1701" w:type="dxa"/>
            <w:vAlign w:val="center"/>
            <w:textDirection w:val="lrTb"/>
            <w:noWrap w:val="false"/>
          </w:tcPr>
          <w:p>
            <w:pPr>
              <w:widowControl/>
              <w:rPr>
                <w:color w:val="auto"/>
                <w:highlight w:val="none"/>
              </w:rPr>
            </w:pPr>
            <w:r>
              <w:rPr>
                <w:rFonts w:ascii="Times New Roman" w:hAnsi="Times New Roman" w:cs="Times New Roman"/>
                <w:color w:val="auto"/>
                <w:highlight w:val="none"/>
              </w:rPr>
              <w:t xml:space="preserve">移液管1mL</w:t>
            </w:r>
            <w:r/>
          </w:p>
        </w:tc>
        <w:tc>
          <w:tcPr>
            <w:shd w:val="clear" w:color="auto" w:fill="auto"/>
            <w:tcW w:w="7796" w:type="dxa"/>
            <w:vAlign w:val="center"/>
            <w:textDirection w:val="lrTb"/>
            <w:noWrap w:val="false"/>
          </w:tcPr>
          <w:p>
            <w:pPr>
              <w:contextualSpacing/>
              <w:widowControl/>
              <w:rPr>
                <w:color w:val="auto"/>
                <w:sz w:val="21"/>
                <w:szCs w:val="21"/>
                <w:highlight w:val="none"/>
              </w:rPr>
            </w:pPr>
            <w:r>
              <w:rPr>
                <w:rFonts w:ascii="Times New Roman" w:hAnsi="Times New Roman" w:cs="Times New Roman"/>
                <w:color w:val="auto"/>
                <w:sz w:val="21"/>
                <w:szCs w:val="21"/>
                <w:highlight w:val="none"/>
              </w:rPr>
              <w:t xml:space="preserve">1mL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8</w:t>
            </w:r>
            <w:r>
              <w:rPr>
                <w:color w:val="auto"/>
                <w:highlight w:val="none"/>
              </w:rPr>
              <w:t xml:space="preserve">6</w:t>
            </w:r>
            <w:r/>
          </w:p>
        </w:tc>
        <w:tc>
          <w:tcPr>
            <w:shd w:val="clear" w:color="auto" w:fill="auto"/>
            <w:tcW w:w="1701" w:type="dxa"/>
            <w:vAlign w:val="center"/>
            <w:textDirection w:val="lrTb"/>
            <w:noWrap w:val="false"/>
          </w:tcPr>
          <w:p>
            <w:pPr>
              <w:widowControl/>
              <w:rPr>
                <w:color w:val="auto"/>
                <w:highlight w:val="none"/>
              </w:rPr>
            </w:pPr>
            <w:r>
              <w:rPr>
                <w:rFonts w:ascii="Times New Roman" w:hAnsi="Times New Roman" w:cs="Times New Roman"/>
                <w:color w:val="auto"/>
                <w:highlight w:val="none"/>
              </w:rPr>
              <w:t xml:space="preserve">移液管2mL</w:t>
            </w:r>
            <w:r/>
          </w:p>
        </w:tc>
        <w:tc>
          <w:tcPr>
            <w:shd w:val="clear" w:color="auto" w:fill="auto"/>
            <w:tcW w:w="7796" w:type="dxa"/>
            <w:vAlign w:val="center"/>
            <w:textDirection w:val="lrTb"/>
            <w:noWrap w:val="false"/>
          </w:tcPr>
          <w:p>
            <w:pPr>
              <w:contextualSpacing/>
              <w:widowControl/>
              <w:rPr>
                <w:color w:val="auto"/>
                <w:sz w:val="21"/>
                <w:szCs w:val="21"/>
                <w:highlight w:val="none"/>
              </w:rPr>
            </w:pPr>
            <w:r>
              <w:rPr>
                <w:rFonts w:ascii="Times New Roman" w:hAnsi="Times New Roman" w:cs="Times New Roman"/>
                <w:color w:val="auto"/>
                <w:sz w:val="21"/>
                <w:szCs w:val="21"/>
                <w:highlight w:val="none"/>
              </w:rPr>
              <w:t xml:space="preserve">2mL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8</w:t>
            </w:r>
            <w:r>
              <w:rPr>
                <w:color w:val="auto"/>
                <w:highlight w:val="none"/>
              </w:rPr>
              <w:t xml:space="preserve">7</w:t>
            </w:r>
            <w:r/>
          </w:p>
        </w:tc>
        <w:tc>
          <w:tcPr>
            <w:shd w:val="clear" w:color="auto" w:fill="auto"/>
            <w:tcW w:w="1701" w:type="dxa"/>
            <w:vAlign w:val="center"/>
            <w:textDirection w:val="lrTb"/>
            <w:noWrap w:val="false"/>
          </w:tcPr>
          <w:p>
            <w:pPr>
              <w:widowControl/>
              <w:rPr>
                <w:color w:val="auto"/>
                <w:highlight w:val="none"/>
              </w:rPr>
            </w:pPr>
            <w:r>
              <w:rPr>
                <w:rFonts w:ascii="Times New Roman" w:hAnsi="Times New Roman" w:cs="Times New Roman"/>
                <w:color w:val="auto"/>
                <w:highlight w:val="none"/>
              </w:rPr>
              <w:t xml:space="preserve">移液管5mL</w:t>
            </w:r>
            <w:r/>
          </w:p>
        </w:tc>
        <w:tc>
          <w:tcPr>
            <w:shd w:val="clear" w:color="auto" w:fill="auto"/>
            <w:tcW w:w="7796" w:type="dxa"/>
            <w:vAlign w:val="center"/>
            <w:textDirection w:val="lrTb"/>
            <w:noWrap w:val="false"/>
          </w:tcPr>
          <w:p>
            <w:pPr>
              <w:contextualSpacing/>
              <w:widowControl/>
              <w:rPr>
                <w:color w:val="auto"/>
                <w:sz w:val="21"/>
                <w:szCs w:val="21"/>
                <w:highlight w:val="none"/>
              </w:rPr>
            </w:pPr>
            <w:r>
              <w:rPr>
                <w:rFonts w:ascii="Times New Roman" w:hAnsi="Times New Roman" w:cs="Times New Roman"/>
                <w:color w:val="auto"/>
                <w:sz w:val="21"/>
                <w:szCs w:val="21"/>
                <w:highlight w:val="none"/>
              </w:rPr>
              <w:t xml:space="preserve">5mL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8</w:t>
            </w:r>
            <w:r>
              <w:rPr>
                <w:color w:val="auto"/>
                <w:highlight w:val="none"/>
              </w:rPr>
              <w:t xml:space="preserve">8</w:t>
            </w:r>
            <w:r/>
          </w:p>
        </w:tc>
        <w:tc>
          <w:tcPr>
            <w:shd w:val="clear" w:color="auto" w:fill="auto"/>
            <w:tcW w:w="1701" w:type="dxa"/>
            <w:vAlign w:val="center"/>
            <w:textDirection w:val="lrTb"/>
            <w:noWrap w:val="false"/>
          </w:tcPr>
          <w:p>
            <w:pPr>
              <w:widowControl/>
              <w:rPr>
                <w:color w:val="auto"/>
                <w:highlight w:val="none"/>
              </w:rPr>
            </w:pPr>
            <w:r>
              <w:rPr>
                <w:rFonts w:ascii="Times New Roman" w:hAnsi="Times New Roman" w:cs="Times New Roman"/>
                <w:color w:val="auto"/>
                <w:highlight w:val="none"/>
              </w:rPr>
              <w:t xml:space="preserve">移液管10mL</w:t>
            </w:r>
            <w:r/>
          </w:p>
        </w:tc>
        <w:tc>
          <w:tcPr>
            <w:shd w:val="clear" w:color="auto" w:fill="auto"/>
            <w:tcW w:w="7796" w:type="dxa"/>
            <w:vAlign w:val="center"/>
            <w:textDirection w:val="lrTb"/>
            <w:noWrap w:val="false"/>
          </w:tcPr>
          <w:p>
            <w:pPr>
              <w:contextualSpacing/>
              <w:widowControl/>
              <w:rPr>
                <w:color w:val="auto"/>
                <w:sz w:val="21"/>
                <w:szCs w:val="21"/>
                <w:highlight w:val="none"/>
              </w:rPr>
            </w:pPr>
            <w:r>
              <w:rPr>
                <w:rFonts w:ascii="Times New Roman" w:hAnsi="Times New Roman" w:cs="Times New Roman"/>
                <w:color w:val="auto"/>
                <w:sz w:val="21"/>
                <w:szCs w:val="21"/>
                <w:highlight w:val="none"/>
              </w:rPr>
              <w:t xml:space="preserve">10mL</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89</w:t>
            </w:r>
            <w:r/>
          </w:p>
        </w:tc>
        <w:tc>
          <w:tcPr>
            <w:shd w:val="clear" w:color="auto" w:fill="auto"/>
            <w:tcW w:w="1701" w:type="dxa"/>
            <w:vAlign w:val="center"/>
            <w:textDirection w:val="lrTb"/>
            <w:noWrap w:val="false"/>
          </w:tcPr>
          <w:p>
            <w:pPr>
              <w:widowControl/>
              <w:rPr>
                <w:color w:val="auto"/>
                <w:highlight w:val="none"/>
              </w:rPr>
            </w:pPr>
            <w:r>
              <w:rPr>
                <w:rFonts w:ascii="Times New Roman" w:hAnsi="Times New Roman" w:cs="Times New Roman"/>
                <w:color w:val="auto"/>
                <w:highlight w:val="none"/>
              </w:rPr>
              <w:t xml:space="preserve">比色管</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50ml</w:t>
            </w:r>
            <w:r/>
          </w:p>
        </w:tc>
      </w:tr>
      <w:tr>
        <w:trPr>
          <w:trHeight w:val="257"/>
        </w:trPr>
        <w:tc>
          <w:tcPr>
            <w:tcW w:w="704" w:type="dxa"/>
            <w:vAlign w:val="center"/>
            <w:textDirection w:val="lrTb"/>
            <w:noWrap w:val="false"/>
          </w:tcPr>
          <w:p>
            <w:pPr>
              <w:jc w:val="center"/>
              <w:widowControl/>
              <w:rPr>
                <w:color w:val="auto"/>
                <w:highlight w:val="none"/>
              </w:rPr>
            </w:pPr>
            <w:r>
              <w:rPr>
                <w:color w:val="auto"/>
                <w:highlight w:val="none"/>
              </w:rPr>
              <w:t xml:space="preserve">90</w:t>
            </w:r>
            <w:r/>
          </w:p>
        </w:tc>
        <w:tc>
          <w:tcPr>
            <w:shd w:val="clear" w:color="auto" w:fill="auto"/>
            <w:tcW w:w="1701" w:type="dxa"/>
            <w:vAlign w:val="center"/>
            <w:textDirection w:val="lrTb"/>
            <w:noWrap w:val="false"/>
          </w:tcPr>
          <w:p>
            <w:pPr>
              <w:widowControl/>
              <w:rPr>
                <w:color w:val="auto"/>
                <w:highlight w:val="none"/>
              </w:rPr>
            </w:pPr>
            <w:r>
              <w:rPr>
                <w:rFonts w:ascii="Times New Roman" w:hAnsi="Times New Roman" w:cs="Times New Roman"/>
                <w:color w:val="auto"/>
                <w:highlight w:val="none"/>
              </w:rPr>
              <w:t xml:space="preserve">玻璃棒</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15cm</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9</w:t>
            </w:r>
            <w:r>
              <w:rPr>
                <w:color w:val="auto"/>
                <w:highlight w:val="none"/>
              </w:rPr>
              <w:t xml:space="preserve">1</w:t>
            </w:r>
            <w:r/>
          </w:p>
        </w:tc>
        <w:tc>
          <w:tcPr>
            <w:shd w:val="clear" w:color="auto" w:fill="auto"/>
            <w:tcW w:w="1701" w:type="dxa"/>
            <w:vAlign w:val="center"/>
            <w:textDirection w:val="lrTb"/>
            <w:noWrap w:val="false"/>
          </w:tcPr>
          <w:p>
            <w:pPr>
              <w:widowControl/>
              <w:rPr>
                <w:color w:val="auto"/>
                <w:highlight w:val="none"/>
              </w:rPr>
            </w:pPr>
            <w:r>
              <w:rPr>
                <w:rFonts w:ascii="Times New Roman" w:hAnsi="Times New Roman" w:cs="Times New Roman"/>
                <w:color w:val="auto"/>
                <w:highlight w:val="none"/>
              </w:rPr>
              <w:t xml:space="preserve">洗瓶</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500ml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9</w:t>
            </w:r>
            <w:r>
              <w:rPr>
                <w:color w:val="auto"/>
                <w:highlight w:val="none"/>
              </w:rPr>
              <w:t xml:space="preserve">2</w:t>
            </w:r>
            <w:r/>
          </w:p>
        </w:tc>
        <w:tc>
          <w:tcPr>
            <w:shd w:val="clear" w:color="auto" w:fill="auto"/>
            <w:tcW w:w="1701" w:type="dxa"/>
            <w:vAlign w:val="center"/>
            <w:textDirection w:val="lrTb"/>
            <w:noWrap w:val="false"/>
          </w:tcPr>
          <w:p>
            <w:pPr>
              <w:widowControl/>
              <w:rPr>
                <w:color w:val="auto"/>
                <w:highlight w:val="none"/>
              </w:rPr>
            </w:pPr>
            <w:r>
              <w:rPr>
                <w:rFonts w:ascii="Times New Roman" w:hAnsi="Times New Roman" w:cs="Times New Roman"/>
                <w:color w:val="auto"/>
                <w:highlight w:val="none"/>
              </w:rPr>
              <w:t xml:space="preserve">称量瓶</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直径4-5cm</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9</w:t>
            </w:r>
            <w:r>
              <w:rPr>
                <w:color w:val="auto"/>
                <w:highlight w:val="none"/>
              </w:rPr>
              <w:t xml:space="preserve">3</w:t>
            </w:r>
            <w:r/>
          </w:p>
        </w:tc>
        <w:tc>
          <w:tcPr>
            <w:shd w:val="clear" w:color="auto" w:fill="auto"/>
            <w:tcW w:w="1701" w:type="dxa"/>
            <w:vAlign w:val="center"/>
            <w:textDirection w:val="lrTb"/>
            <w:noWrap w:val="false"/>
          </w:tcPr>
          <w:p>
            <w:pPr>
              <w:widowControl/>
              <w:rPr>
                <w:color w:val="auto"/>
                <w:highlight w:val="none"/>
              </w:rPr>
            </w:pPr>
            <w:r>
              <w:rPr>
                <w:color w:val="auto"/>
                <w:highlight w:val="none"/>
              </w:rPr>
              <w:t xml:space="preserve">聚四氟酸碱滴定管50mL</w:t>
            </w:r>
            <w:r/>
          </w:p>
        </w:tc>
        <w:tc>
          <w:tcPr>
            <w:tcW w:w="7796" w:type="dxa"/>
            <w:vAlign w:val="center"/>
            <w:textDirection w:val="lrTb"/>
            <w:noWrap w:val="false"/>
          </w:tcPr>
          <w:p>
            <w:pPr>
              <w:pStyle w:val="939"/>
              <w:contextualSpacing/>
              <w:ind w:left="0" w:firstLine="0"/>
              <w:rPr>
                <w:color w:val="auto"/>
                <w:sz w:val="21"/>
                <w:szCs w:val="21"/>
                <w:highlight w:val="none"/>
                <w:lang w:bidi="ar"/>
              </w:rPr>
            </w:pPr>
            <w:r>
              <w:rPr>
                <w:color w:val="auto"/>
                <w:sz w:val="21"/>
                <w:szCs w:val="21"/>
                <w:highlight w:val="none"/>
              </w:rPr>
              <w:t xml:space="preserve">50mL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9</w:t>
            </w:r>
            <w:r>
              <w:rPr>
                <w:color w:val="auto"/>
                <w:highlight w:val="none"/>
              </w:rPr>
              <w:t xml:space="preserve">4</w:t>
            </w:r>
            <w:r/>
          </w:p>
        </w:tc>
        <w:tc>
          <w:tcPr>
            <w:shd w:val="clear" w:color="auto" w:fill="auto"/>
            <w:tcW w:w="1701" w:type="dxa"/>
            <w:vAlign w:val="center"/>
            <w:textDirection w:val="lrTb"/>
            <w:noWrap w:val="false"/>
          </w:tcPr>
          <w:p>
            <w:pPr>
              <w:widowControl/>
              <w:rPr>
                <w:color w:val="auto"/>
                <w:highlight w:val="none"/>
              </w:rPr>
            </w:pPr>
            <w:r>
              <w:rPr>
                <w:color w:val="auto"/>
                <w:highlight w:val="none"/>
              </w:rPr>
              <w:t xml:space="preserve">石英比色皿10mm</w:t>
            </w:r>
            <w:r/>
          </w:p>
        </w:tc>
        <w:tc>
          <w:tcPr>
            <w:tcW w:w="7796" w:type="dxa"/>
            <w:vAlign w:val="center"/>
            <w:textDirection w:val="lrTb"/>
            <w:noWrap w:val="false"/>
          </w:tcPr>
          <w:p>
            <w:pPr>
              <w:pStyle w:val="939"/>
              <w:contextualSpacing/>
              <w:ind w:left="0" w:firstLine="0"/>
              <w:rPr>
                <w:color w:val="auto"/>
                <w:sz w:val="21"/>
                <w:szCs w:val="21"/>
                <w:highlight w:val="none"/>
                <w:lang w:bidi="ar"/>
              </w:rPr>
            </w:pPr>
            <w:r>
              <w:rPr>
                <w:color w:val="auto"/>
                <w:sz w:val="21"/>
                <w:szCs w:val="21"/>
                <w:highlight w:val="none"/>
              </w:rPr>
              <w:t xml:space="preserve">10mm</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9</w:t>
            </w:r>
            <w:r>
              <w:rPr>
                <w:color w:val="auto"/>
                <w:highlight w:val="none"/>
              </w:rPr>
              <w:t xml:space="preserve">5</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铁架台+蝴蝶夹</w:t>
            </w:r>
            <w:r/>
          </w:p>
        </w:tc>
        <w:tc>
          <w:tcPr>
            <w:tcW w:w="7796" w:type="dxa"/>
            <w:vAlign w:val="center"/>
            <w:textDirection w:val="lrTb"/>
            <w:noWrap w:val="false"/>
          </w:tcPr>
          <w:p>
            <w:pPr>
              <w:pStyle w:val="939"/>
              <w:contextualSpacing/>
              <w:ind w:left="0" w:firstLine="0"/>
              <w:rPr>
                <w:color w:val="auto"/>
                <w:sz w:val="21"/>
                <w:szCs w:val="21"/>
                <w:highlight w:val="none"/>
                <w:lang w:bidi="ar"/>
              </w:rPr>
            </w:pPr>
            <w:r>
              <w:rPr>
                <w:rFonts w:hint="eastAsia"/>
                <w:color w:val="auto"/>
                <w:sz w:val="21"/>
                <w:szCs w:val="21"/>
                <w:highlight w:val="none"/>
                <w:lang w:bidi="ar"/>
              </w:rPr>
              <w:t xml:space="preserve">常规尺寸即可</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9</w:t>
            </w:r>
            <w:r>
              <w:rPr>
                <w:color w:val="auto"/>
                <w:highlight w:val="none"/>
              </w:rPr>
              <w:t xml:space="preserve">6</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灭火毯2m×2m</w:t>
            </w:r>
            <w:r/>
          </w:p>
        </w:tc>
        <w:tc>
          <w:tcPr>
            <w:tcW w:w="7796" w:type="dxa"/>
            <w:vAlign w:val="center"/>
            <w:textDirection w:val="lrTb"/>
            <w:noWrap w:val="false"/>
          </w:tcPr>
          <w:p>
            <w:pPr>
              <w:pStyle w:val="939"/>
              <w:contextualSpacing/>
              <w:ind w:left="0" w:firstLine="0"/>
              <w:rPr>
                <w:color w:val="auto"/>
                <w:sz w:val="21"/>
                <w:szCs w:val="21"/>
                <w:highlight w:val="none"/>
                <w:lang w:bidi="ar"/>
              </w:rPr>
            </w:pPr>
            <w:r>
              <w:rPr>
                <w:color w:val="auto"/>
                <w:sz w:val="21"/>
                <w:szCs w:val="21"/>
                <w:highlight w:val="none"/>
              </w:rPr>
              <w:t xml:space="preserve">2m×2m</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9</w:t>
            </w:r>
            <w:r>
              <w:rPr>
                <w:color w:val="auto"/>
                <w:highlight w:val="none"/>
              </w:rPr>
              <w:t xml:space="preserve">7</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溶解氧瓶250mL</w:t>
            </w:r>
            <w:r/>
          </w:p>
        </w:tc>
        <w:tc>
          <w:tcPr>
            <w:tcW w:w="7796" w:type="dxa"/>
            <w:vAlign w:val="center"/>
            <w:textDirection w:val="lrTb"/>
            <w:noWrap w:val="false"/>
          </w:tcPr>
          <w:p>
            <w:pPr>
              <w:pStyle w:val="939"/>
              <w:contextualSpacing/>
              <w:ind w:left="0" w:firstLine="0"/>
              <w:rPr>
                <w:color w:val="auto"/>
                <w:sz w:val="21"/>
                <w:szCs w:val="21"/>
                <w:highlight w:val="none"/>
                <w:lang w:bidi="ar"/>
              </w:rPr>
            </w:pPr>
            <w:r>
              <w:rPr>
                <w:color w:val="auto"/>
                <w:sz w:val="21"/>
                <w:szCs w:val="21"/>
                <w:highlight w:val="none"/>
              </w:rPr>
              <w:t xml:space="preserve">250mL</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98</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碘量瓶250mL</w:t>
            </w:r>
            <w:r/>
          </w:p>
        </w:tc>
        <w:tc>
          <w:tcPr>
            <w:tcW w:w="7796" w:type="dxa"/>
            <w:vAlign w:val="center"/>
            <w:textDirection w:val="lrTb"/>
            <w:noWrap w:val="false"/>
          </w:tcPr>
          <w:p>
            <w:pPr>
              <w:pStyle w:val="939"/>
              <w:contextualSpacing/>
              <w:ind w:left="0" w:firstLine="0"/>
              <w:rPr>
                <w:color w:val="auto"/>
                <w:sz w:val="21"/>
                <w:szCs w:val="21"/>
                <w:highlight w:val="none"/>
                <w:lang w:bidi="ar"/>
              </w:rPr>
            </w:pPr>
            <w:r>
              <w:rPr>
                <w:color w:val="auto"/>
                <w:sz w:val="21"/>
                <w:szCs w:val="21"/>
                <w:highlight w:val="none"/>
              </w:rPr>
              <w:t xml:space="preserve">250mL</w:t>
            </w:r>
            <w:r/>
          </w:p>
        </w:tc>
      </w:tr>
      <w:tr>
        <w:trPr>
          <w:trHeight w:val="90"/>
        </w:trPr>
        <w:tc>
          <w:tcPr>
            <w:tcW w:w="704" w:type="dxa"/>
            <w:vAlign w:val="center"/>
            <w:textDirection w:val="lrTb"/>
            <w:noWrap w:val="false"/>
          </w:tcPr>
          <w:p>
            <w:pPr>
              <w:jc w:val="center"/>
              <w:widowControl/>
              <w:rPr>
                <w:color w:val="auto"/>
                <w:highlight w:val="none"/>
              </w:rPr>
            </w:pPr>
            <w:r>
              <w:rPr>
                <w:color w:val="auto"/>
                <w:highlight w:val="none"/>
              </w:rPr>
              <w:t xml:space="preserve">99</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量筒10mL</w:t>
            </w:r>
            <w:r/>
          </w:p>
        </w:tc>
        <w:tc>
          <w:tcPr>
            <w:shd w:val="clear" w:color="auto" w:fill="auto"/>
            <w:tcW w:w="7796" w:type="dxa"/>
            <w:vAlign w:val="center"/>
            <w:textDirection w:val="lrTb"/>
            <w:noWrap w:val="false"/>
          </w:tcPr>
          <w:p>
            <w:pPr>
              <w:contextualSpacing/>
              <w:widowControl/>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10</w:t>
            </w:r>
            <w:r>
              <w:rPr>
                <w:color w:val="auto"/>
                <w:highlight w:val="none"/>
              </w:rPr>
              <w:t xml:space="preserve">0</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量筒50mL</w:t>
            </w:r>
            <w:r/>
          </w:p>
        </w:tc>
        <w:tc>
          <w:tcPr>
            <w:shd w:val="clear" w:color="auto" w:fill="auto"/>
            <w:tcW w:w="7796" w:type="dxa"/>
            <w:vAlign w:val="center"/>
            <w:textDirection w:val="lrTb"/>
            <w:noWrap w:val="false"/>
          </w:tcPr>
          <w:p>
            <w:pPr>
              <w:contextualSpacing/>
              <w:widowControl/>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50mL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10</w:t>
            </w:r>
            <w:r>
              <w:rPr>
                <w:color w:val="auto"/>
                <w:highlight w:val="none"/>
              </w:rPr>
              <w:t xml:space="preserve">1</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量筒100mL</w:t>
            </w:r>
            <w:r/>
          </w:p>
        </w:tc>
        <w:tc>
          <w:tcPr>
            <w:shd w:val="clear" w:color="auto" w:fill="auto"/>
            <w:tcW w:w="7796" w:type="dxa"/>
            <w:vAlign w:val="center"/>
            <w:textDirection w:val="lrTb"/>
            <w:noWrap w:val="false"/>
          </w:tcPr>
          <w:p>
            <w:pPr>
              <w:contextualSpacing/>
              <w:widowControl/>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100mL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10</w:t>
            </w:r>
            <w:r>
              <w:rPr>
                <w:color w:val="auto"/>
                <w:highlight w:val="none"/>
              </w:rPr>
              <w:t xml:space="preserve">2</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量筒200mL</w:t>
            </w:r>
            <w:r/>
          </w:p>
        </w:tc>
        <w:tc>
          <w:tcPr>
            <w:shd w:val="clear" w:color="auto" w:fill="auto"/>
            <w:tcW w:w="7796" w:type="dxa"/>
            <w:vAlign w:val="center"/>
            <w:textDirection w:val="lrTb"/>
            <w:noWrap w:val="false"/>
          </w:tcPr>
          <w:p>
            <w:pPr>
              <w:contextualSpacing/>
              <w:widowControl/>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200mL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10</w:t>
            </w:r>
            <w:r>
              <w:rPr>
                <w:color w:val="auto"/>
                <w:highlight w:val="none"/>
              </w:rPr>
              <w:t xml:space="preserve">3</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量筒500mL</w:t>
            </w:r>
            <w:r/>
          </w:p>
        </w:tc>
        <w:tc>
          <w:tcPr>
            <w:shd w:val="clear" w:color="auto" w:fill="auto"/>
            <w:tcW w:w="7796" w:type="dxa"/>
            <w:vAlign w:val="center"/>
            <w:textDirection w:val="lrTb"/>
            <w:noWrap w:val="false"/>
          </w:tcPr>
          <w:p>
            <w:pPr>
              <w:contextualSpacing/>
              <w:widowControl/>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500mL</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10</w:t>
            </w:r>
            <w:r>
              <w:rPr>
                <w:color w:val="auto"/>
                <w:highlight w:val="none"/>
              </w:rPr>
              <w:t xml:space="preserve">4</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高型称量瓶</w:t>
            </w:r>
            <w:r/>
          </w:p>
        </w:tc>
        <w:tc>
          <w:tcPr>
            <w:shd w:val="clear" w:color="auto" w:fill="auto"/>
            <w:tcW w:w="7796" w:type="dxa"/>
            <w:vAlign w:val="center"/>
            <w:textDirection w:val="lrTb"/>
            <w:noWrap w:val="false"/>
          </w:tcPr>
          <w:p>
            <w:pPr>
              <w:contextualSpacing/>
              <w:widowControl/>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高型称量瓶</w:t>
            </w:r>
            <w:r/>
          </w:p>
        </w:tc>
      </w:tr>
      <w:tr>
        <w:trPr>
          <w:trHeight w:val="90"/>
        </w:trPr>
        <w:tc>
          <w:tcPr>
            <w:tcW w:w="704" w:type="dxa"/>
            <w:vAlign w:val="center"/>
            <w:textDirection w:val="lrTb"/>
            <w:noWrap w:val="false"/>
          </w:tcPr>
          <w:p>
            <w:pPr>
              <w:jc w:val="center"/>
              <w:widowControl/>
              <w:rPr>
                <w:color w:val="auto"/>
                <w:highlight w:val="none"/>
              </w:rPr>
            </w:pPr>
            <w:r>
              <w:rPr>
                <w:rFonts w:hint="eastAsia"/>
                <w:color w:val="auto"/>
                <w:highlight w:val="none"/>
              </w:rPr>
              <w:t xml:space="preserve">10</w:t>
            </w:r>
            <w:r>
              <w:rPr>
                <w:color w:val="auto"/>
                <w:highlight w:val="none"/>
              </w:rPr>
              <w:t xml:space="preserve">5</w:t>
            </w:r>
            <w:r/>
          </w:p>
        </w:tc>
        <w:tc>
          <w:tcPr>
            <w:shd w:val="clear" w:color="auto" w:fill="auto"/>
            <w:tcW w:w="1701" w:type="dxa"/>
            <w:vAlign w:val="center"/>
            <w:textDirection w:val="lrTb"/>
            <w:noWrap w:val="false"/>
          </w:tcPr>
          <w:p>
            <w:pPr>
              <w:widowControl/>
              <w:rPr>
                <w:rFonts w:ascii="Times New Roman" w:hAnsi="Times New Roman" w:cs="Times New Roman"/>
                <w:color w:val="auto"/>
                <w:highlight w:val="none"/>
              </w:rPr>
            </w:pPr>
            <w:r>
              <w:rPr>
                <w:rFonts w:ascii="Times New Roman" w:hAnsi="Times New Roman" w:cs="Times New Roman"/>
                <w:color w:val="auto"/>
                <w:highlight w:val="none"/>
              </w:rPr>
              <w:t xml:space="preserve">扁形称量瓶</w:t>
            </w:r>
            <w:r/>
          </w:p>
        </w:tc>
        <w:tc>
          <w:tcPr>
            <w:shd w:val="clear" w:color="auto" w:fill="auto"/>
            <w:tcW w:w="7796" w:type="dxa"/>
            <w:vAlign w:val="center"/>
            <w:textDirection w:val="lrTb"/>
            <w:noWrap w:val="false"/>
          </w:tcPr>
          <w:p>
            <w:pPr>
              <w:contextualSpacing/>
              <w:widowControl/>
              <w:rPr>
                <w:rFonts w:ascii="Times New Roman" w:hAnsi="Times New Roman" w:cs="Times New Roman"/>
                <w:color w:val="auto"/>
                <w:sz w:val="21"/>
                <w:szCs w:val="21"/>
                <w:highlight w:val="none"/>
              </w:rPr>
            </w:pPr>
            <w:r>
              <w:rPr>
                <w:rFonts w:ascii="Times New Roman" w:hAnsi="Times New Roman" w:cs="Times New Roman"/>
                <w:color w:val="auto"/>
                <w:sz w:val="21"/>
                <w:szCs w:val="21"/>
                <w:highlight w:val="none"/>
              </w:rPr>
              <w:t xml:space="preserve">扁形称量瓶</w:t>
            </w:r>
            <w:r/>
          </w:p>
        </w:tc>
      </w:tr>
    </w:tbl>
    <w:p>
      <w:pPr>
        <w:pStyle w:val="1114"/>
        <w:ind w:firstLine="0"/>
        <w:rPr>
          <w:color w:val="auto"/>
          <w:sz w:val="24"/>
          <w:szCs w:val="32"/>
          <w:highlight w:val="none"/>
        </w:rPr>
      </w:pPr>
      <w:r>
        <w:rPr>
          <w:rFonts w:hint="eastAsia"/>
          <w:color w:val="auto"/>
          <w:sz w:val="24"/>
          <w:szCs w:val="32"/>
          <w:highlight w:val="none"/>
        </w:rPr>
        <w:t xml:space="preserve">三、</w:t>
      </w:r>
      <w:r>
        <w:rPr>
          <w:rFonts w:hint="eastAsia"/>
          <w:b/>
          <w:color w:val="auto"/>
          <w:sz w:val="24"/>
          <w:szCs w:val="32"/>
          <w:highlight w:val="none"/>
          <w:lang w:val="en-US"/>
        </w:rPr>
        <w:t xml:space="preserve">服务要求</w:t>
      </w:r>
      <w:r>
        <w:rPr>
          <w:color w:val="auto"/>
          <w:sz w:val="24"/>
          <w:szCs w:val="32"/>
          <w:highlight w:val="none"/>
        </w:rPr>
        <w:t xml:space="preserve">：</w:t>
      </w:r>
      <w:r/>
    </w:p>
    <w:p>
      <w:pPr>
        <w:pStyle w:val="1114"/>
        <w:ind w:firstLine="480"/>
        <w:rPr>
          <w:color w:val="auto"/>
          <w:sz w:val="24"/>
          <w:szCs w:val="32"/>
          <w:highlight w:val="none"/>
        </w:rPr>
      </w:pPr>
      <w:r>
        <w:rPr>
          <w:rFonts w:hint="eastAsia"/>
          <w:color w:val="auto"/>
          <w:sz w:val="24"/>
          <w:szCs w:val="32"/>
          <w:highlight w:val="none"/>
          <w:lang w:val="en-US"/>
        </w:rPr>
        <w:t xml:space="preserve">1、</w:t>
      </w:r>
      <w:r>
        <w:rPr>
          <w:rFonts w:hint="eastAsia"/>
          <w:color w:val="auto"/>
          <w:sz w:val="24"/>
          <w:szCs w:val="32"/>
          <w:highlight w:val="none"/>
        </w:rPr>
        <w:t xml:space="preserve">本项目</w:t>
      </w:r>
      <w:r>
        <w:rPr>
          <w:rFonts w:hint="eastAsia"/>
          <w:color w:val="auto"/>
          <w:sz w:val="24"/>
          <w:szCs w:val="32"/>
          <w:highlight w:val="none"/>
          <w:lang w:val="en-US"/>
        </w:rPr>
        <w:t xml:space="preserve">主要设备</w:t>
      </w:r>
      <w:r>
        <w:rPr>
          <w:rFonts w:hint="eastAsia"/>
          <w:color w:val="auto"/>
          <w:sz w:val="24"/>
          <w:szCs w:val="32"/>
          <w:highlight w:val="none"/>
        </w:rPr>
        <w:t xml:space="preserve">质保期</w:t>
      </w:r>
      <w:r>
        <w:rPr>
          <w:rFonts w:hint="eastAsia"/>
          <w:color w:val="auto"/>
          <w:sz w:val="24"/>
          <w:szCs w:val="32"/>
          <w:highlight w:val="none"/>
          <w:lang w:val="en-US"/>
        </w:rPr>
        <w:t xml:space="preserve">3</w:t>
      </w:r>
      <w:r>
        <w:rPr>
          <w:rFonts w:hint="eastAsia"/>
          <w:color w:val="auto"/>
          <w:sz w:val="24"/>
          <w:szCs w:val="32"/>
          <w:highlight w:val="none"/>
        </w:rPr>
        <w:t xml:space="preserve">年。发生故障后，要求</w:t>
      </w:r>
      <w:r>
        <w:rPr>
          <w:rFonts w:hint="eastAsia"/>
          <w:color w:val="auto"/>
          <w:sz w:val="24"/>
          <w:szCs w:val="32"/>
          <w:highlight w:val="none"/>
          <w:lang w:val="en-US"/>
        </w:rPr>
        <w:t xml:space="preserve">供应商</w:t>
      </w:r>
      <w:r>
        <w:rPr>
          <w:rFonts w:hint="eastAsia"/>
          <w:color w:val="auto"/>
          <w:sz w:val="24"/>
          <w:szCs w:val="32"/>
          <w:highlight w:val="none"/>
        </w:rPr>
        <w:t xml:space="preserve">售后人员于当日6小时内到现场，提出解决方案。超出免费维保期后，也应继续提供用户服务，如有维保费，费用不超过本项目报价的5.5%。</w:t>
      </w:r>
      <w:r/>
    </w:p>
    <w:p>
      <w:pPr>
        <w:pStyle w:val="1114"/>
        <w:ind w:firstLine="480"/>
        <w:rPr>
          <w:color w:val="auto"/>
          <w:sz w:val="24"/>
          <w:szCs w:val="32"/>
          <w:highlight w:val="none"/>
          <w:lang w:val="en-US"/>
        </w:rPr>
      </w:pPr>
      <w:r>
        <w:rPr>
          <w:rFonts w:hint="eastAsia"/>
          <w:color w:val="auto"/>
          <w:sz w:val="24"/>
          <w:szCs w:val="32"/>
          <w:highlight w:val="none"/>
          <w:lang w:val="en-US"/>
        </w:rPr>
        <w:t xml:space="preserve">2</w:t>
      </w:r>
      <w:r>
        <w:rPr>
          <w:rFonts w:hint="eastAsia"/>
          <w:color w:val="auto"/>
          <w:sz w:val="24"/>
          <w:szCs w:val="32"/>
          <w:highlight w:val="none"/>
        </w:rPr>
        <w:t xml:space="preserve">、需提供相应软硬件产品实验操作手册，</w:t>
      </w:r>
      <w:r>
        <w:rPr>
          <w:rFonts w:hint="eastAsia"/>
          <w:color w:val="auto"/>
          <w:sz w:val="24"/>
          <w:szCs w:val="32"/>
          <w:highlight w:val="none"/>
          <w:lang w:val="en-US"/>
        </w:rPr>
        <w:t xml:space="preserve">主要设备需原厂派工程师进行培训（含线上或者线上）。</w:t>
      </w:r>
      <w:r/>
    </w:p>
    <w:p>
      <w:pPr>
        <w:pStyle w:val="1114"/>
        <w:ind w:firstLine="480"/>
        <w:rPr>
          <w:color w:val="auto"/>
          <w:sz w:val="24"/>
          <w:szCs w:val="32"/>
          <w:highlight w:val="none"/>
        </w:rPr>
      </w:pPr>
      <w:r>
        <w:rPr>
          <w:rFonts w:hint="eastAsia"/>
          <w:color w:val="auto"/>
          <w:sz w:val="24"/>
          <w:szCs w:val="32"/>
          <w:highlight w:val="none"/>
          <w:lang w:val="en-US"/>
        </w:rPr>
        <w:t xml:space="preserve">3</w:t>
      </w:r>
      <w:r>
        <w:rPr>
          <w:rFonts w:hint="eastAsia"/>
          <w:color w:val="auto"/>
          <w:sz w:val="24"/>
          <w:szCs w:val="32"/>
          <w:highlight w:val="none"/>
        </w:rPr>
        <w:t xml:space="preserve">、交付时间：</w:t>
      </w:r>
      <w:r>
        <w:rPr>
          <w:rFonts w:hint="eastAsia"/>
          <w:color w:val="auto"/>
          <w:sz w:val="24"/>
          <w:szCs w:val="32"/>
          <w:highlight w:val="none"/>
          <w:lang w:val="en-US"/>
        </w:rPr>
        <w:t xml:space="preserve">自合同签订之日起45个工作日内完成交付、安装调试并验收合格</w:t>
      </w:r>
      <w:r>
        <w:rPr>
          <w:rFonts w:hint="eastAsia"/>
          <w:color w:val="auto"/>
          <w:sz w:val="24"/>
          <w:szCs w:val="32"/>
          <w:highlight w:val="none"/>
        </w:rPr>
        <w:t xml:space="preserve">。</w:t>
      </w:r>
      <w:r/>
    </w:p>
    <w:p>
      <w:pPr>
        <w:pStyle w:val="1114"/>
        <w:ind w:firstLine="480"/>
        <w:rPr>
          <w:color w:val="auto"/>
          <w:sz w:val="24"/>
          <w:szCs w:val="32"/>
          <w:highlight w:val="none"/>
        </w:rPr>
      </w:pPr>
      <w:r>
        <w:rPr>
          <w:rFonts w:hint="eastAsia"/>
          <w:color w:val="auto"/>
          <w:sz w:val="24"/>
          <w:szCs w:val="32"/>
          <w:highlight w:val="none"/>
          <w:lang w:val="en-US"/>
        </w:rPr>
        <w:t xml:space="preserve">4</w:t>
      </w:r>
      <w:r>
        <w:rPr>
          <w:rFonts w:hint="eastAsia"/>
          <w:color w:val="auto"/>
          <w:sz w:val="24"/>
          <w:szCs w:val="32"/>
          <w:highlight w:val="none"/>
        </w:rPr>
        <w:t xml:space="preserve">、交付地点：采购人指定地点。</w:t>
      </w:r>
      <w:r/>
    </w:p>
    <w:p>
      <w:pPr>
        <w:pStyle w:val="1114"/>
        <w:ind w:firstLine="480"/>
        <w:rPr>
          <w:b/>
          <w:color w:val="auto"/>
          <w:sz w:val="24"/>
          <w:szCs w:val="32"/>
          <w:highlight w:val="none"/>
          <w:lang w:val="en-US"/>
        </w:rPr>
      </w:pPr>
      <w:r>
        <w:rPr>
          <w:rFonts w:hint="eastAsia"/>
          <w:color w:val="auto"/>
          <w:sz w:val="24"/>
          <w:szCs w:val="32"/>
          <w:highlight w:val="none"/>
          <w:lang w:val="en-US"/>
        </w:rPr>
        <w:t xml:space="preserve">5、项目验收：项目涉及所有软硬件设备需安全调试满足正常使用。</w:t>
      </w:r>
      <w:r/>
    </w:p>
    <w:p>
      <w:pPr>
        <w:spacing w:line="360" w:lineRule="auto"/>
        <w:rPr>
          <w:b/>
          <w:color w:val="auto"/>
          <w:sz w:val="24"/>
          <w:szCs w:val="32"/>
          <w:highlight w:val="none"/>
          <w:lang w:val="en-US"/>
        </w:rPr>
      </w:pPr>
      <w:r>
        <w:rPr>
          <w:rFonts w:hint="eastAsia"/>
          <w:b/>
          <w:color w:val="auto"/>
          <w:sz w:val="24"/>
          <w:szCs w:val="32"/>
          <w:highlight w:val="none"/>
          <w:lang w:val="en-US"/>
        </w:rPr>
        <w:t xml:space="preserve">四、样品</w:t>
      </w:r>
      <w:r/>
    </w:p>
    <w:p>
      <w:pPr>
        <w:spacing w:line="360" w:lineRule="auto"/>
        <w:rPr>
          <w:color w:val="auto"/>
          <w:szCs w:val="21"/>
          <w:highlight w:val="none"/>
        </w:rPr>
      </w:pPr>
      <w:r>
        <w:rPr>
          <w:rFonts w:hint="eastAsia"/>
          <w:color w:val="auto"/>
          <w:szCs w:val="21"/>
          <w:highlight w:val="none"/>
        </w:rPr>
        <w:t xml:space="preserve">供应商需提交以下样品：</w:t>
      </w:r>
      <w:r/>
    </w:p>
    <w:p>
      <w:pPr>
        <w:ind w:firstLine="480"/>
        <w:spacing w:line="360" w:lineRule="auto"/>
        <w:widowControl/>
        <w:rPr>
          <w:color w:val="auto"/>
          <w:sz w:val="24"/>
          <w:szCs w:val="24"/>
          <w:highlight w:val="none"/>
          <w:lang w:val="en-US" w:bidi="ar"/>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（1）样品清单</w:t>
      </w:r>
      <w:r>
        <w:rPr>
          <w:rStyle w:val="935"/>
          <w:rFonts w:hint="eastAsia"/>
          <w:color w:val="auto"/>
          <w:sz w:val="24"/>
          <w:szCs w:val="24"/>
          <w:highlight w:val="none"/>
        </w:rPr>
        <w:t xml:space="preserve">：</w:t>
      </w:r>
      <w:r>
        <w:rPr>
          <w:rFonts w:hint="eastAsia"/>
          <w:color w:val="auto"/>
          <w:sz w:val="24"/>
          <w:szCs w:val="24"/>
          <w:highlight w:val="none"/>
          <w:lang w:val="en-US" w:bidi="ar"/>
        </w:rPr>
        <w:t xml:space="preserve">供应商提供智慧多功能绘图组合1一套</w:t>
      </w:r>
      <w:r>
        <w:rPr>
          <w:b/>
          <w:bCs/>
          <w:color w:val="auto"/>
          <w:sz w:val="24"/>
          <w:szCs w:val="24"/>
          <w:highlight w:val="none"/>
          <w:lang w:val="en-US" w:bidi="ar"/>
        </w:rPr>
        <w:t xml:space="preserve"> </w:t>
      </w:r>
      <w:r>
        <w:rPr>
          <w:rFonts w:hint="eastAsia"/>
          <w:b/>
          <w:bCs/>
          <w:color w:val="auto"/>
          <w:sz w:val="24"/>
          <w:szCs w:val="24"/>
          <w:highlight w:val="none"/>
          <w:lang w:val="en-US" w:bidi="ar"/>
        </w:rPr>
        <w:t xml:space="preserve">包含：</w:t>
      </w:r>
      <w:r/>
    </w:p>
    <w:p>
      <w:pPr>
        <w:pStyle w:val="860"/>
        <w:ind w:firstLine="240"/>
        <w:spacing w:line="360" w:lineRule="auto"/>
        <w:rPr>
          <w:b w:val="0"/>
          <w:bCs w:val="0"/>
          <w:color w:val="auto"/>
          <w:sz w:val="24"/>
          <w:szCs w:val="24"/>
          <w:highlight w:val="none"/>
          <w:lang w:val="en-US" w:bidi="ar"/>
        </w:rPr>
      </w:pPr>
      <w:r>
        <w:rPr>
          <w:rFonts w:hint="eastAsia"/>
          <w:b w:val="0"/>
          <w:bCs w:val="0"/>
          <w:color w:val="auto"/>
          <w:sz w:val="24"/>
          <w:szCs w:val="24"/>
          <w:highlight w:val="none"/>
          <w:lang w:val="en-US" w:bidi="ar"/>
        </w:rPr>
        <w:t xml:space="preserve">1）智慧多功能绘图桌1张 </w:t>
      </w:r>
      <w:r/>
    </w:p>
    <w:p>
      <w:pPr>
        <w:pStyle w:val="860"/>
        <w:spacing w:line="360" w:lineRule="auto"/>
        <w:rPr>
          <w:b w:val="0"/>
          <w:bCs w:val="0"/>
          <w:color w:val="auto"/>
          <w:sz w:val="24"/>
          <w:szCs w:val="24"/>
          <w:highlight w:val="none"/>
          <w:lang w:val="en-US" w:bidi="ar"/>
        </w:rPr>
      </w:pPr>
      <w:r>
        <w:rPr>
          <w:rFonts w:hint="eastAsia"/>
          <w:b w:val="0"/>
          <w:bCs w:val="0"/>
          <w:color w:val="auto"/>
          <w:sz w:val="24"/>
          <w:szCs w:val="24"/>
          <w:highlight w:val="none"/>
          <w:lang w:val="en-US" w:bidi="ar"/>
        </w:rPr>
        <w:t xml:space="preserve">规格：长</w:t>
      </w:r>
      <w:r>
        <w:rPr>
          <w:b w:val="0"/>
          <w:bCs w:val="0"/>
          <w:color w:val="auto"/>
          <w:sz w:val="24"/>
          <w:szCs w:val="24"/>
          <w:highlight w:val="none"/>
          <w:lang w:val="en-US" w:bidi="ar"/>
        </w:rPr>
        <w:t xml:space="preserve">800±5mm*宽600±5mm*高750±5mm</w:t>
      </w:r>
      <w:r/>
    </w:p>
    <w:p>
      <w:pPr>
        <w:ind w:firstLine="480"/>
        <w:spacing w:line="360" w:lineRule="auto"/>
        <w:widowControl/>
        <w:rPr>
          <w:color w:val="auto"/>
          <w:sz w:val="24"/>
          <w:szCs w:val="24"/>
          <w:highlight w:val="none"/>
          <w:lang w:val="en-US" w:bidi="ar"/>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bidi="ar"/>
        </w:rPr>
        <w:t xml:space="preserve">2）学生椅1把</w:t>
      </w:r>
      <w:r/>
    </w:p>
    <w:p>
      <w:pPr>
        <w:pStyle w:val="860"/>
        <w:spacing w:line="360" w:lineRule="auto"/>
        <w:rPr>
          <w:b w:val="0"/>
          <w:bCs w:val="0"/>
          <w:color w:val="auto"/>
          <w:sz w:val="24"/>
          <w:szCs w:val="24"/>
          <w:highlight w:val="none"/>
          <w:lang w:val="en-US" w:bidi="ar"/>
        </w:rPr>
      </w:pPr>
      <w:r>
        <w:rPr>
          <w:rFonts w:hint="eastAsia"/>
          <w:b w:val="0"/>
          <w:bCs w:val="0"/>
          <w:color w:val="auto"/>
          <w:sz w:val="24"/>
          <w:szCs w:val="24"/>
          <w:highlight w:val="none"/>
          <w:lang w:val="en-US" w:bidi="ar"/>
        </w:rPr>
        <w:t xml:space="preserve">规格：</w:t>
      </w:r>
      <w:r>
        <w:rPr>
          <w:b w:val="0"/>
          <w:bCs w:val="0"/>
          <w:color w:val="auto"/>
          <w:sz w:val="24"/>
          <w:szCs w:val="24"/>
          <w:highlight w:val="none"/>
          <w:lang w:val="en-US" w:bidi="ar"/>
        </w:rPr>
        <w:t xml:space="preserve">540mm宽*500mm深*840mm高</w:t>
      </w:r>
      <w:r/>
    </w:p>
    <w:p>
      <w:pPr>
        <w:ind w:firstLine="480"/>
        <w:spacing w:line="360" w:lineRule="auto"/>
        <w:widowControl/>
        <w:rPr>
          <w:color w:val="auto"/>
          <w:sz w:val="24"/>
          <w:szCs w:val="24"/>
          <w:highlight w:val="none"/>
          <w:lang w:val="en-US" w:bidi="ar"/>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bidi="ar"/>
        </w:rPr>
        <w:t xml:space="preserve">（2）样品要求：</w:t>
      </w:r>
      <w:r>
        <w:rPr>
          <w:rFonts w:hint="eastAsia"/>
          <w:color w:val="auto"/>
          <w:sz w:val="24"/>
          <w:szCs w:val="24"/>
          <w:highlight w:val="none"/>
          <w:lang w:bidi="ar"/>
        </w:rPr>
        <w:t xml:space="preserve">具体参数详见</w:t>
      </w:r>
      <w:r>
        <w:rPr>
          <w:rFonts w:hint="eastAsia"/>
          <w:color w:val="auto"/>
          <w:sz w:val="24"/>
          <w:szCs w:val="24"/>
          <w:highlight w:val="none"/>
          <w:lang w:val="en-US" w:bidi="ar"/>
        </w:rPr>
        <w:t xml:space="preserve">采购设备详细参数</w:t>
      </w:r>
      <w:r>
        <w:rPr>
          <w:rFonts w:hint="eastAsia"/>
          <w:color w:val="auto"/>
          <w:sz w:val="24"/>
          <w:szCs w:val="24"/>
          <w:highlight w:val="none"/>
          <w:lang w:bidi="ar"/>
        </w:rPr>
        <w:t xml:space="preserve">53条</w:t>
      </w:r>
      <w:r/>
    </w:p>
    <w:p>
      <w:pPr>
        <w:ind w:firstLine="480"/>
        <w:spacing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t xml:space="preserve">5.2.3样品递交时间及相关注意事项：</w:t>
      </w:r>
      <w:r/>
    </w:p>
    <w:p>
      <w:pPr>
        <w:ind w:firstLine="480"/>
        <w:spacing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w:t>
      </w:r>
      <w:r>
        <w:rPr>
          <w:color w:val="auto"/>
          <w:sz w:val="24"/>
          <w:szCs w:val="24"/>
          <w:highlight w:val="none"/>
        </w:rPr>
        <w:t xml:space="preserve">1）样品递交时间：2026年5月8日9:00起至9:30止，在此期间样品由投标人自行保管。采</w:t>
      </w:r>
      <w:r>
        <w:rPr>
          <w:rFonts w:hint="eastAsia"/>
          <w:color w:val="auto"/>
          <w:sz w:val="24"/>
          <w:szCs w:val="24"/>
          <w:highlight w:val="none"/>
        </w:rPr>
        <w:t xml:space="preserve">代理机构</w:t>
      </w:r>
      <w:r>
        <w:rPr>
          <w:color w:val="auto"/>
          <w:sz w:val="24"/>
          <w:szCs w:val="24"/>
          <w:highlight w:val="none"/>
        </w:rPr>
        <w:t xml:space="preserve">不接收在样品递交截止时间后递交的样品。</w:t>
      </w:r>
      <w:r/>
    </w:p>
    <w:p>
      <w:pPr>
        <w:ind w:firstLine="480"/>
        <w:spacing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w:t>
      </w:r>
      <w:r>
        <w:rPr>
          <w:color w:val="auto"/>
          <w:sz w:val="24"/>
          <w:szCs w:val="24"/>
          <w:highlight w:val="none"/>
        </w:rPr>
        <w:t xml:space="preserve">2）样品递交地点：</w:t>
      </w:r>
      <w:r>
        <w:rPr>
          <w:rFonts w:hint="eastAsia"/>
          <w:color w:val="auto"/>
          <w:sz w:val="24"/>
          <w:szCs w:val="24"/>
          <w:highlight w:val="none"/>
        </w:rPr>
        <w:t xml:space="preserve">南京鼓楼区中山路</w:t>
      </w:r>
      <w:r>
        <w:rPr>
          <w:color w:val="auto"/>
          <w:sz w:val="24"/>
          <w:szCs w:val="24"/>
          <w:highlight w:val="none"/>
        </w:rPr>
        <w:t xml:space="preserve">99</w:t>
      </w:r>
      <w:r>
        <w:rPr>
          <w:rFonts w:hint="eastAsia"/>
          <w:color w:val="auto"/>
          <w:sz w:val="24"/>
          <w:szCs w:val="24"/>
          <w:highlight w:val="none"/>
        </w:rPr>
        <w:t xml:space="preserve">号1</w:t>
      </w:r>
      <w:r>
        <w:rPr>
          <w:color w:val="auto"/>
          <w:sz w:val="24"/>
          <w:szCs w:val="24"/>
          <w:highlight w:val="none"/>
        </w:rPr>
        <w:t xml:space="preserve">2</w:t>
      </w:r>
      <w:r>
        <w:rPr>
          <w:rFonts w:hint="eastAsia"/>
          <w:color w:val="auto"/>
          <w:sz w:val="24"/>
          <w:szCs w:val="24"/>
          <w:highlight w:val="none"/>
        </w:rPr>
        <w:t xml:space="preserve">楼1</w:t>
      </w:r>
      <w:r>
        <w:rPr>
          <w:color w:val="auto"/>
          <w:sz w:val="24"/>
          <w:szCs w:val="24"/>
          <w:highlight w:val="none"/>
        </w:rPr>
        <w:t xml:space="preserve">212</w:t>
      </w:r>
      <w:r>
        <w:rPr>
          <w:rFonts w:hint="eastAsia"/>
          <w:color w:val="auto"/>
          <w:sz w:val="24"/>
          <w:szCs w:val="24"/>
          <w:highlight w:val="none"/>
        </w:rPr>
        <w:t xml:space="preserve">室</w:t>
      </w:r>
      <w:r>
        <w:rPr>
          <w:color w:val="auto"/>
          <w:sz w:val="24"/>
          <w:szCs w:val="24"/>
          <w:highlight w:val="none"/>
        </w:rPr>
        <w:t xml:space="preserve">。联系人：</w:t>
      </w:r>
      <w:r>
        <w:rPr>
          <w:rFonts w:hint="eastAsia"/>
          <w:color w:val="auto"/>
          <w:sz w:val="24"/>
          <w:szCs w:val="24"/>
          <w:highlight w:val="none"/>
        </w:rPr>
        <w:t xml:space="preserve">南京苏宁工程咨询有限公司</w:t>
      </w:r>
      <w:r>
        <w:rPr>
          <w:color w:val="auto"/>
          <w:sz w:val="24"/>
          <w:szCs w:val="24"/>
          <w:highlight w:val="none"/>
        </w:rPr>
        <w:t xml:space="preserve">  电话：025-84200819  </w:t>
      </w:r>
      <w:r/>
    </w:p>
    <w:p>
      <w:pPr>
        <w:ind w:firstLine="480"/>
        <w:spacing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w:t>
      </w:r>
      <w:r>
        <w:rPr>
          <w:color w:val="auto"/>
          <w:sz w:val="24"/>
          <w:szCs w:val="24"/>
          <w:highlight w:val="none"/>
        </w:rPr>
        <w:t xml:space="preserve">3）投标人递交样品时应服从现场工作人员要求，按要求递交样品并签到，不得翻看他人样品及进行拍照，投标人如出现违法违规行为的，视为未提交样品并按照相应法律追究责任。各供应商应同时提交加盖投标人公章的纸张密封在小信封中并将小信封粘贴在样品上，供应商递交的样品上及小信封外不得显示投标人名称及其他明显能识别投标人的标识，未按要求提交小信封、样品显示投标人名称及有其他明显能识别投标人的标识的，一律视为未提交样品。各供应商应同时准备相应大小的塑料布等对自身递交的样品进行遮盖。</w:t>
      </w:r>
      <w:r/>
    </w:p>
    <w:p>
      <w:pPr>
        <w:ind w:firstLine="480"/>
        <w:spacing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w:t>
      </w:r>
      <w:r>
        <w:rPr>
          <w:color w:val="auto"/>
          <w:sz w:val="24"/>
          <w:szCs w:val="24"/>
          <w:highlight w:val="none"/>
        </w:rPr>
        <w:t xml:space="preserve">4）供应商不得破坏或损毁其他供应商的样品，也不得对其他供应商的样品拍照、录像。</w:t>
      </w:r>
      <w:r/>
    </w:p>
    <w:p>
      <w:pPr>
        <w:ind w:firstLine="480"/>
        <w:spacing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w:t>
      </w:r>
      <w:r>
        <w:rPr>
          <w:color w:val="auto"/>
          <w:sz w:val="24"/>
          <w:szCs w:val="24"/>
          <w:highlight w:val="none"/>
        </w:rPr>
        <w:t xml:space="preserve">5）中标供应商递交的样品由采购人负责保管、封存并作为履约验收的依据，不再退还中标供应商。未中标供应商递交的样品在采购结果公告期结束后3个工作日内，通知未中标供应商自行取回，逾期未取回，视同供应商放弃样品所有权，由采购人自行处置。</w:t>
      </w:r>
      <w:r/>
    </w:p>
    <w:p>
      <w:pPr>
        <w:ind w:firstLine="480"/>
        <w:spacing w:line="360" w:lineRule="auto"/>
        <w:widowControl/>
        <w:rPr>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rPr>
        <w:t xml:space="preserve">（</w:t>
      </w:r>
      <w:r>
        <w:rPr>
          <w:color w:val="auto"/>
          <w:sz w:val="24"/>
          <w:szCs w:val="24"/>
          <w:highlight w:val="none"/>
        </w:rPr>
        <w:t xml:space="preserve">6）所有样品的制作、包装、运输等费用</w:t>
      </w:r>
      <w:r>
        <w:rPr>
          <w:rFonts w:hint="eastAsia"/>
          <w:color w:val="auto"/>
          <w:sz w:val="24"/>
          <w:szCs w:val="24"/>
          <w:highlight w:val="none"/>
        </w:rPr>
        <w:t xml:space="preserve">供应商</w:t>
      </w:r>
      <w:r>
        <w:rPr>
          <w:color w:val="auto"/>
          <w:sz w:val="24"/>
          <w:szCs w:val="24"/>
          <w:highlight w:val="none"/>
        </w:rPr>
        <w:t xml:space="preserve">自行承担。</w:t>
      </w:r>
      <w:r/>
    </w:p>
    <w:p>
      <w:pPr>
        <w:spacing w:line="360" w:lineRule="auto"/>
        <w:rPr>
          <w:color w:val="auto"/>
          <w:sz w:val="24"/>
          <w:szCs w:val="32"/>
          <w:highlight w:val="none"/>
        </w:rPr>
      </w:pPr>
      <w:r>
        <w:rPr>
          <w:rFonts w:hint="eastAsia"/>
          <w:b/>
          <w:color w:val="auto"/>
          <w:sz w:val="24"/>
          <w:szCs w:val="32"/>
          <w:highlight w:val="none"/>
        </w:rPr>
        <w:t xml:space="preserve">五</w:t>
      </w:r>
      <w:r>
        <w:rPr>
          <w:b/>
          <w:color w:val="auto"/>
          <w:sz w:val="24"/>
          <w:szCs w:val="32"/>
          <w:highlight w:val="none"/>
        </w:rPr>
        <w:t xml:space="preserve">、</w:t>
      </w:r>
      <w:r>
        <w:rPr>
          <w:rFonts w:hint="eastAsia"/>
          <w:b/>
          <w:color w:val="auto"/>
          <w:sz w:val="24"/>
          <w:szCs w:val="32"/>
          <w:highlight w:val="none"/>
          <w:lang w:val="en-US"/>
        </w:rPr>
        <w:t xml:space="preserve">其他</w:t>
      </w:r>
      <w:r>
        <w:rPr>
          <w:b/>
          <w:color w:val="auto"/>
          <w:sz w:val="24"/>
          <w:szCs w:val="32"/>
          <w:highlight w:val="none"/>
        </w:rPr>
        <w:t xml:space="preserve">要求</w:t>
      </w:r>
      <w:r/>
    </w:p>
    <w:p>
      <w:pPr>
        <w:pStyle w:val="1114"/>
        <w:rPr>
          <w:color w:val="auto"/>
          <w:sz w:val="24"/>
          <w:szCs w:val="32"/>
          <w:highlight w:val="none"/>
          <w:lang w:val="en-US" w:bidi="ar-SA"/>
        </w:rPr>
      </w:pPr>
      <w:r>
        <w:rPr>
          <w:rFonts w:hint="eastAsia"/>
          <w:color w:val="auto"/>
          <w:sz w:val="24"/>
          <w:szCs w:val="32"/>
          <w:highlight w:val="none"/>
          <w:lang w:val="en-US" w:bidi="ar-SA"/>
        </w:rPr>
        <w:t xml:space="preserve">1、项目方案</w:t>
      </w:r>
      <w:r/>
    </w:p>
    <w:p>
      <w:pPr>
        <w:pStyle w:val="1114"/>
        <w:rPr>
          <w:color w:val="auto"/>
          <w:sz w:val="24"/>
          <w:szCs w:val="32"/>
          <w:highlight w:val="none"/>
          <w:lang w:val="en-US" w:bidi="ar-SA"/>
        </w:rPr>
      </w:pPr>
      <w:r>
        <w:rPr>
          <w:rFonts w:hint="eastAsia"/>
          <w:color w:val="auto"/>
          <w:sz w:val="24"/>
          <w:szCs w:val="32"/>
          <w:highlight w:val="none"/>
          <w:lang w:val="en-US" w:bidi="ar-SA"/>
        </w:rPr>
        <w:t xml:space="preserve">本项目为交钥匙工作，设备中标人须和实训室装修供应商共同完发，所以中标人应根据招标文件项目需求和本项目特点，进行项目重点和难点分析，制订项目实施方案，实施方案应做到完整全面、科学可行，并有针对性的实施方案。</w:t>
      </w:r>
      <w:r/>
    </w:p>
    <w:p>
      <w:pPr>
        <w:pStyle w:val="1114"/>
        <w:rPr>
          <w:color w:val="auto"/>
          <w:sz w:val="24"/>
          <w:szCs w:val="32"/>
          <w:highlight w:val="none"/>
          <w:lang w:val="en-US" w:bidi="ar-SA"/>
        </w:rPr>
      </w:pPr>
      <w:r>
        <w:rPr>
          <w:rFonts w:hint="eastAsia"/>
          <w:color w:val="auto"/>
          <w:sz w:val="24"/>
          <w:szCs w:val="32"/>
          <w:highlight w:val="none"/>
          <w:lang w:val="en-US" w:bidi="ar-SA"/>
        </w:rPr>
        <w:t xml:space="preserve">提供本项目货物采购的保障方案：组织上应成立专项项目组，配备持相关资质证书的项目管理师、技术专家及现场监理人员，明确岗位职责及协作流程；为保证软硬件采购渠道合规且质量可控，需提供主要设备原厂授权及质保；在项目实施期间，中标人应制定详细的安全管理措施，确保施工过程中的安全无事故，如发生安全事故，由中标人全权承担。</w:t>
      </w:r>
      <w:r/>
    </w:p>
    <w:p>
      <w:pPr>
        <w:pStyle w:val="1114"/>
        <w:rPr>
          <w:color w:val="auto"/>
          <w:sz w:val="24"/>
          <w:szCs w:val="32"/>
          <w:highlight w:val="none"/>
          <w:lang w:val="en-US" w:bidi="ar-SA"/>
        </w:rPr>
      </w:pPr>
      <w:r>
        <w:rPr>
          <w:rFonts w:hint="eastAsia"/>
          <w:color w:val="auto"/>
          <w:sz w:val="24"/>
          <w:szCs w:val="32"/>
          <w:highlight w:val="none"/>
          <w:lang w:val="en-US" w:bidi="ar-SA"/>
        </w:rPr>
        <w:t xml:space="preserve">针对本项目的要求做出设备采购周期表和流程：制定合理的项目实施计划，明确各阶段的时间节点，确保项目按时交付使用；需建立有效的沟通协调机制，及时解决施工过程中出现的问题，确保项目顺利进行。</w:t>
      </w:r>
      <w:r/>
    </w:p>
    <w:p>
      <w:pPr>
        <w:pStyle w:val="1114"/>
        <w:rPr>
          <w:color w:val="auto"/>
          <w:sz w:val="24"/>
          <w:szCs w:val="32"/>
          <w:highlight w:val="none"/>
          <w:lang w:val="en-US" w:bidi="ar-SA"/>
        </w:rPr>
      </w:pPr>
      <w:r>
        <w:rPr>
          <w:rFonts w:hint="eastAsia"/>
          <w:color w:val="auto"/>
          <w:sz w:val="24"/>
          <w:szCs w:val="32"/>
          <w:highlight w:val="none"/>
          <w:lang w:val="en-US" w:bidi="ar-SA"/>
        </w:rPr>
        <w:t xml:space="preserve">项目售后维保服务要求：售后服务方案需包含但不限于售后服务内容、应急故障响应、售后维修人员配置，定期巡检回访机制等，投标方须提供主要设备质保期不少于3年，承诺7×24小时远程技术支持响应，提供本项目后期维保人员名单。</w:t>
      </w:r>
      <w:r/>
    </w:p>
    <w:p>
      <w:pPr>
        <w:pStyle w:val="1114"/>
        <w:rPr>
          <w:color w:val="auto"/>
          <w:sz w:val="24"/>
          <w:szCs w:val="32"/>
          <w:highlight w:val="none"/>
          <w:lang w:val="en-US" w:bidi="ar-SA"/>
        </w:rPr>
      </w:pPr>
      <w:r>
        <w:rPr>
          <w:rFonts w:hint="eastAsia"/>
          <w:color w:val="auto"/>
          <w:sz w:val="24"/>
          <w:szCs w:val="32"/>
          <w:highlight w:val="none"/>
          <w:lang w:val="en-US" w:bidi="ar-SA"/>
        </w:rPr>
        <w:t xml:space="preserve">2、付款方式</w:t>
      </w:r>
      <w:r/>
    </w:p>
    <w:p>
      <w:pPr>
        <w:pStyle w:val="1114"/>
        <w:rPr>
          <w:color w:val="auto"/>
          <w:sz w:val="24"/>
          <w:szCs w:val="32"/>
          <w:highlight w:val="none"/>
          <w:lang w:val="en-US" w:bidi="ar-SA"/>
        </w:rPr>
      </w:pPr>
      <w:r>
        <w:rPr>
          <w:rFonts w:hint="eastAsia"/>
          <w:color w:val="auto"/>
          <w:sz w:val="24"/>
          <w:szCs w:val="32"/>
          <w:highlight w:val="none"/>
          <w:lang w:val="en-US" w:bidi="ar-SA"/>
        </w:rPr>
        <w:t xml:space="preserve">本项目不要求履约保证金，合同签订后，中标供应商实施完成项目并通过采购人组织的验收后10个工作日，凭对应金额正式发票采购人支付合同总价的95％给中标人；项目验收合格后一年后付款5%。</w:t>
      </w:r>
      <w:r/>
    </w:p>
    <w:p>
      <w:pPr>
        <w:pStyle w:val="1114"/>
        <w:rPr>
          <w:color w:val="auto"/>
          <w:sz w:val="24"/>
          <w:szCs w:val="32"/>
          <w:highlight w:val="none"/>
          <w:lang w:val="en-US" w:bidi="ar-SA"/>
        </w:rPr>
      </w:pPr>
      <w:r>
        <w:rPr>
          <w:rFonts w:hint="eastAsia"/>
          <w:color w:val="auto"/>
          <w:sz w:val="24"/>
          <w:szCs w:val="32"/>
          <w:highlight w:val="none"/>
          <w:lang w:val="en-US" w:bidi="ar-SA"/>
        </w:rPr>
        <w:t xml:space="preserve">3、报价要求</w:t>
      </w:r>
      <w:r/>
    </w:p>
    <w:p>
      <w:pPr>
        <w:pStyle w:val="1114"/>
        <w:rPr>
          <w:color w:val="auto"/>
          <w:sz w:val="24"/>
          <w:szCs w:val="32"/>
          <w:highlight w:val="none"/>
          <w:lang w:val="en-US" w:bidi="ar-SA"/>
        </w:rPr>
      </w:pPr>
      <w:r>
        <w:rPr>
          <w:rFonts w:hint="eastAsia"/>
          <w:color w:val="auto"/>
          <w:sz w:val="24"/>
          <w:szCs w:val="32"/>
          <w:highlight w:val="none"/>
          <w:lang w:val="en-US" w:bidi="ar-SA"/>
        </w:rPr>
        <w:t xml:space="preserve">（1）供应商充分考虑所有可能影响到报价的价格及政策等风险因素，一旦中标，服务总价将包定，一律不予调整。在服务过程中，如发现有漏项，卖方应无条件服务，所发生的一切费用，视为已包含在卖方的投标报价之中。</w:t>
      </w:r>
      <w:r/>
    </w:p>
    <w:p>
      <w:pPr>
        <w:pStyle w:val="1114"/>
        <w:rPr>
          <w:color w:val="auto"/>
          <w:sz w:val="24"/>
          <w:szCs w:val="32"/>
          <w:highlight w:val="none"/>
          <w:lang w:val="en-US" w:bidi="ar-SA"/>
        </w:rPr>
      </w:pPr>
      <w:r>
        <w:rPr>
          <w:rFonts w:hint="eastAsia"/>
          <w:color w:val="auto"/>
          <w:sz w:val="24"/>
          <w:szCs w:val="32"/>
          <w:highlight w:val="none"/>
          <w:lang w:val="en-US" w:bidi="ar-SA"/>
        </w:rPr>
        <w:t xml:space="preserve">（2）供应商的任何错漏、优惠、竞争性报价不得作为减轻责任、减少服务、增加收费、降低质量的理由。</w:t>
      </w:r>
      <w:r/>
    </w:p>
    <w:p>
      <w:pPr>
        <w:pStyle w:val="1114"/>
        <w:rPr>
          <w:color w:val="auto"/>
          <w:sz w:val="24"/>
          <w:szCs w:val="32"/>
          <w:highlight w:val="none"/>
          <w:lang w:val="en-US" w:bidi="ar-SA"/>
        </w:rPr>
      </w:pPr>
      <w:r>
        <w:rPr>
          <w:rFonts w:hint="eastAsia"/>
          <w:color w:val="auto"/>
          <w:sz w:val="24"/>
          <w:szCs w:val="32"/>
          <w:highlight w:val="none"/>
          <w:lang w:val="en-US" w:bidi="ar-SA"/>
        </w:rPr>
        <w:t xml:space="preserve">（3）中标人必须按照招标文件要求、投标文件中的承诺以及采购合同内容严格履行本项目。</w:t>
      </w:r>
      <w:r/>
    </w:p>
    <w:p>
      <w:pPr>
        <w:ind w:firstLine="420"/>
        <w:spacing w:line="360" w:lineRule="auto"/>
        <w:widowControl/>
        <w:rPr>
          <w:color w:val="auto"/>
          <w:highlight w:val="none"/>
          <w:lang w:val="en-US"/>
        </w:rPr>
      </w:pPr>
      <w:r>
        <w:rPr>
          <w:color w:val="auto"/>
          <w:highlight w:val="none"/>
          <w:lang w:val="en-US"/>
        </w:rPr>
      </w:r>
      <w:r/>
    </w:p>
    <w:p>
      <w:pPr>
        <w:rPr>
          <w:color w:val="auto"/>
          <w:sz w:val="24"/>
          <w:szCs w:val="24"/>
          <w:highlight w:val="none"/>
        </w:rPr>
      </w:pPr>
      <w:r>
        <w:rPr>
          <w:rFonts w:hint="eastAsia"/>
          <w:color w:val="auto"/>
          <w:sz w:val="24"/>
          <w:szCs w:val="24"/>
          <w:highlight w:val="none"/>
        </w:rPr>
        <w:br w:type="page" w:clear="all"/>
      </w:r>
      <w:r/>
    </w:p>
    <w:p>
      <w:pPr>
        <w:pStyle w:val="939"/>
        <w:rPr>
          <w:color w:val="auto"/>
          <w:highlight w:val="none"/>
        </w:rPr>
      </w:pPr>
      <w:r>
        <w:rPr>
          <w:color w:val="auto"/>
          <w:highlight w:val="none"/>
        </w:rPr>
      </w:r>
      <w:r/>
    </w:p>
    <w:p>
      <w:pPr>
        <w:ind w:right="40"/>
        <w:jc w:val="center"/>
        <w:spacing w:before="29"/>
        <w:tabs>
          <w:tab w:val="left" w:pos="1439" w:leader="none"/>
        </w:tabs>
        <w:rPr>
          <w:rFonts w:ascii="黑体" w:eastAsia="黑体"/>
          <w:b/>
          <w:bCs/>
          <w:color w:val="auto"/>
          <w:sz w:val="36"/>
          <w:highlight w:val="none"/>
        </w:rPr>
        <w:outlineLvl w:val="0"/>
      </w:pPr>
      <w:r>
        <w:rPr>
          <w:rFonts w:hint="eastAsia" w:ascii="黑体" w:eastAsia="黑体"/>
          <w:b/>
          <w:bCs/>
          <w:color w:val="auto"/>
          <w:sz w:val="36"/>
          <w:highlight w:val="none"/>
        </w:rPr>
        <w:t xml:space="preserve">第五章</w:t>
      </w:r>
      <w:bookmarkEnd w:id="22"/>
      <w:r/>
      <w:bookmarkStart w:id="61" w:name="_Toc11634"/>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合同主要条款及格式</w:t>
      </w:r>
      <w:r/>
    </w:p>
    <w:p>
      <w:pPr>
        <w:ind w:right="396"/>
        <w:jc w:val="center"/>
        <w:spacing w:before="261"/>
        <w:rPr>
          <w:rFonts w:ascii="微软雅黑" w:eastAsia="微软雅黑"/>
          <w:b/>
          <w:color w:val="auto"/>
          <w:sz w:val="48"/>
          <w:highlight w:val="none"/>
        </w:rPr>
      </w:pPr>
      <w:r>
        <w:rPr>
          <w:rFonts w:ascii="微软雅黑"/>
          <w:b/>
          <w:color w:val="auto"/>
          <w:sz w:val="21"/>
          <w:szCs w:val="24"/>
          <w:highlight w:val="none"/>
        </w:rPr>
        <w:t xml:space="preserve">（仅供参考，供应商可在采购人的要求下就合同文本做相应调整）</w:t>
      </w:r>
      <w:r/>
    </w:p>
    <w:p>
      <w:pPr>
        <w:spacing w:after="145" w:line="360" w:lineRule="auto"/>
        <w:widowControl/>
        <w:rPr>
          <w:rFonts w:ascii="Calibri" w:hAnsi="Calibri"/>
          <w:color w:val="auto"/>
          <w:sz w:val="24"/>
          <w:highlight w:val="none"/>
        </w:rPr>
      </w:pPr>
      <w:r>
        <w:rPr>
          <w:rFonts w:hint="eastAsia" w:ascii="黑体" w:hAnsi="Calibri" w:eastAsia="黑体"/>
          <w:b/>
          <w:color w:val="auto"/>
          <w:sz w:val="24"/>
          <w:highlight w:val="none"/>
        </w:rPr>
        <w:t xml:space="preserve">合同编号：</w:t>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spacing w:line="360" w:lineRule="auto"/>
        <w:widowControl/>
        <w:rPr>
          <w:rFonts w:ascii="Calibri" w:hAnsi="Calibri"/>
          <w:color w:val="auto"/>
          <w:highlight w:val="none"/>
        </w:rPr>
      </w:pPr>
      <w:r>
        <w:rPr>
          <w:rFonts w:ascii="Calibri" w:hAnsi="Calibri"/>
          <w:color w:val="auto"/>
          <w:highlight w:val="none"/>
        </w:rPr>
      </w:r>
      <w:r/>
    </w:p>
    <w:p>
      <w:pPr>
        <w:jc w:val="center"/>
        <w:spacing w:line="360" w:lineRule="auto"/>
        <w:widowControl/>
        <w:tabs>
          <w:tab w:val="left" w:pos="360" w:leader="none"/>
          <w:tab w:val="left" w:pos="540" w:leader="none"/>
        </w:tabs>
        <w:rPr>
          <w:rFonts w:ascii="黑体" w:hAnsi="Calibri" w:eastAsia="黑体"/>
          <w:color w:val="auto"/>
          <w:sz w:val="52"/>
          <w:highlight w:val="none"/>
        </w:rPr>
      </w:pPr>
      <w:r>
        <w:rPr>
          <w:rFonts w:hint="eastAsia" w:ascii="黑体" w:hAnsi="Calibri" w:eastAsia="黑体"/>
          <w:color w:val="auto"/>
          <w:sz w:val="52"/>
          <w:highlight w:val="none"/>
        </w:rPr>
        <w:t xml:space="preserve">    政府采购合同（货物类）</w:t>
      </w:r>
      <w:r/>
    </w:p>
    <w:p>
      <w:pPr>
        <w:jc w:val="center"/>
        <w:spacing w:line="360" w:lineRule="auto"/>
        <w:widowControl/>
        <w:rPr>
          <w:rFonts w:ascii="黑体" w:hAnsi="Calibri" w:eastAsia="黑体"/>
          <w:b/>
          <w:color w:val="auto"/>
          <w:sz w:val="28"/>
          <w:szCs w:val="28"/>
          <w:highlight w:val="none"/>
        </w:rPr>
      </w:pPr>
      <w:r>
        <w:rPr>
          <w:rFonts w:ascii="黑体" w:hAnsi="Calibri" w:eastAsia="黑体"/>
          <w:b/>
          <w:color w:val="auto"/>
          <w:sz w:val="28"/>
          <w:szCs w:val="28"/>
          <w:highlight w:val="none"/>
        </w:rPr>
      </w:r>
      <w:r/>
    </w:p>
    <w:p>
      <w:pPr>
        <w:jc w:val="center"/>
        <w:spacing w:line="360" w:lineRule="auto"/>
        <w:widowControl/>
        <w:rPr>
          <w:rFonts w:ascii="黑体" w:hAnsi="Calibri" w:eastAsia="黑体"/>
          <w:b/>
          <w:color w:val="auto"/>
          <w:sz w:val="28"/>
          <w:szCs w:val="28"/>
          <w:highlight w:val="none"/>
        </w:rPr>
      </w:pPr>
      <w:r>
        <w:rPr>
          <w:rFonts w:ascii="黑体" w:hAnsi="Calibri" w:eastAsia="黑体"/>
          <w:b/>
          <w:color w:val="auto"/>
          <w:sz w:val="28"/>
          <w:szCs w:val="28"/>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spacing w:line="360" w:lineRule="auto"/>
        <w:widowControl/>
        <w:rPr>
          <w:rFonts w:ascii="黑体" w:hAnsi="Calibri" w:eastAsia="黑体"/>
          <w:color w:val="auto"/>
          <w:sz w:val="32"/>
          <w:highlight w:val="none"/>
        </w:rPr>
      </w:pPr>
      <w:r>
        <w:rPr>
          <w:rFonts w:ascii="黑体" w:hAnsi="Calibri" w:eastAsia="黑体"/>
          <w:color w:val="auto"/>
          <w:sz w:val="32"/>
          <w:highlight w:val="none"/>
        </w:rPr>
      </w:r>
      <w:r/>
    </w:p>
    <w:p>
      <w:pPr>
        <w:ind w:left="40" w:firstLine="800"/>
        <w:spacing w:line="360" w:lineRule="auto"/>
        <w:widowControl/>
        <w:rPr>
          <w:rFonts w:ascii="黑体" w:eastAsia="黑体"/>
          <w:color w:val="auto"/>
          <w:sz w:val="32"/>
          <w:szCs w:val="32"/>
          <w:highlight w:val="none"/>
          <w:u w:val="single"/>
        </w:rPr>
      </w:pPr>
      <w:r>
        <w:rPr>
          <w:rFonts w:hint="eastAsia" w:ascii="黑体" w:eastAsia="黑体"/>
          <w:color w:val="auto"/>
          <w:sz w:val="32"/>
          <w:szCs w:val="32"/>
          <w:highlight w:val="none"/>
        </w:rPr>
        <w:t xml:space="preserve">项目名称：</w:t>
      </w:r>
      <w:r>
        <w:rPr>
          <w:rFonts w:hint="eastAsia" w:ascii="黑体" w:eastAsia="黑体"/>
          <w:color w:val="auto"/>
          <w:sz w:val="32"/>
          <w:szCs w:val="32"/>
          <w:highlight w:val="none"/>
          <w:u w:val="single"/>
        </w:rPr>
        <w:t xml:space="preserve">                                     </w:t>
      </w:r>
      <w:r/>
    </w:p>
    <w:p>
      <w:pPr>
        <w:ind w:left="40" w:firstLine="800"/>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ind w:left="40" w:firstLine="800"/>
        <w:spacing w:line="360" w:lineRule="auto"/>
        <w:widowControl/>
        <w:rPr>
          <w:rFonts w:ascii="黑体" w:eastAsia="黑体"/>
          <w:color w:val="auto"/>
          <w:sz w:val="32"/>
          <w:szCs w:val="32"/>
          <w:highlight w:val="none"/>
          <w:u w:val="single"/>
        </w:rPr>
      </w:pPr>
      <w:r>
        <w:rPr>
          <w:rFonts w:hint="eastAsia" w:ascii="黑体" w:eastAsia="黑体"/>
          <w:color w:val="auto"/>
          <w:sz w:val="32"/>
          <w:szCs w:val="32"/>
          <w:highlight w:val="none"/>
        </w:rPr>
        <w:t xml:space="preserve">甲    方：</w:t>
      </w:r>
      <w:r>
        <w:rPr>
          <w:rFonts w:hint="eastAsia" w:ascii="黑体" w:eastAsia="黑体"/>
          <w:color w:val="auto"/>
          <w:sz w:val="32"/>
          <w:szCs w:val="32"/>
          <w:highlight w:val="none"/>
          <w:u w:val="single"/>
        </w:rPr>
        <w:t xml:space="preserve">      </w:t>
      </w:r>
      <w:r>
        <w:rPr>
          <w:rFonts w:ascii="黑体" w:eastAsia="黑体"/>
          <w:color w:val="auto"/>
          <w:sz w:val="32"/>
          <w:szCs w:val="32"/>
          <w:highlight w:val="none"/>
          <w:u w:val="single"/>
        </w:rPr>
        <w:t xml:space="preserve">      </w:t>
      </w:r>
      <w:r>
        <w:rPr>
          <w:rFonts w:hint="eastAsia" w:ascii="黑体" w:eastAsia="黑体"/>
          <w:color w:val="auto"/>
          <w:sz w:val="32"/>
          <w:szCs w:val="32"/>
          <w:highlight w:val="none"/>
          <w:u w:val="single"/>
        </w:rPr>
        <w:t xml:space="preserve">江苏开放大学             </w:t>
      </w:r>
      <w:r/>
    </w:p>
    <w:p>
      <w:pPr>
        <w:ind w:left="40" w:firstLine="800"/>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spacing w:line="360" w:lineRule="auto"/>
        <w:widowControl/>
        <w:rPr>
          <w:rFonts w:ascii="黑体" w:eastAsia="黑体"/>
          <w:color w:val="auto"/>
          <w:sz w:val="32"/>
          <w:szCs w:val="32"/>
          <w:highlight w:val="none"/>
          <w:u w:val="single"/>
        </w:rPr>
      </w:pPr>
      <w:r>
        <w:rPr>
          <w:rFonts w:hint="eastAsia" w:ascii="黑体" w:hAnsi="Calibri" w:eastAsia="黑体"/>
          <w:color w:val="auto"/>
          <w:sz w:val="32"/>
          <w:szCs w:val="32"/>
          <w:highlight w:val="none"/>
        </w:rPr>
        <w:tab/>
      </w:r>
      <w:r>
        <w:rPr>
          <w:rFonts w:hint="eastAsia" w:ascii="黑体" w:eastAsia="黑体"/>
          <w:color w:val="auto"/>
          <w:sz w:val="32"/>
          <w:szCs w:val="32"/>
          <w:highlight w:val="none"/>
        </w:rPr>
        <w:t xml:space="preserve">乙    方：</w:t>
      </w:r>
      <w:r>
        <w:rPr>
          <w:rFonts w:hint="eastAsia" w:ascii="黑体" w:eastAsia="黑体"/>
          <w:color w:val="auto"/>
          <w:sz w:val="32"/>
          <w:szCs w:val="32"/>
          <w:highlight w:val="none"/>
          <w:u w:val="single"/>
        </w:rPr>
        <w:t xml:space="preserve">         </w:t>
      </w:r>
      <w:r>
        <w:rPr>
          <w:rFonts w:ascii="黑体" w:eastAsia="黑体"/>
          <w:color w:val="auto"/>
          <w:sz w:val="32"/>
          <w:szCs w:val="32"/>
          <w:highlight w:val="none"/>
          <w:u w:val="single"/>
        </w:rPr>
        <w:t xml:space="preserve">      </w:t>
      </w:r>
      <w:r>
        <w:rPr>
          <w:rFonts w:hint="eastAsia" w:ascii="黑体" w:eastAsia="黑体"/>
          <w:color w:val="auto"/>
          <w:sz w:val="32"/>
          <w:szCs w:val="32"/>
          <w:highlight w:val="none"/>
          <w:u w:val="single"/>
        </w:rPr>
        <w:t xml:space="preserve">                      </w:t>
      </w:r>
      <w:r/>
    </w:p>
    <w:p>
      <w:pPr>
        <w:spacing w:line="360" w:lineRule="auto"/>
        <w:widowControl/>
        <w:rPr>
          <w:rFonts w:ascii="黑体" w:hAnsi="Calibri" w:eastAsia="黑体"/>
          <w:color w:val="auto"/>
          <w:sz w:val="32"/>
          <w:szCs w:val="32"/>
          <w:highlight w:val="none"/>
          <w:u w:val="single"/>
        </w:rPr>
      </w:pPr>
      <w:r>
        <w:rPr>
          <w:rFonts w:ascii="黑体" w:hAnsi="Calibri" w:eastAsia="黑体"/>
          <w:color w:val="auto"/>
          <w:sz w:val="32"/>
          <w:szCs w:val="32"/>
          <w:highlight w:val="none"/>
          <w:u w:val="single"/>
        </w:rPr>
      </w:r>
      <w:r/>
    </w:p>
    <w:p>
      <w:pPr>
        <w:spacing w:line="360" w:lineRule="auto"/>
        <w:widowControl/>
        <w:rPr>
          <w:rFonts w:ascii="黑体" w:hAnsi="Calibri" w:eastAsia="黑体"/>
          <w:color w:val="auto"/>
          <w:sz w:val="32"/>
          <w:szCs w:val="32"/>
          <w:highlight w:val="none"/>
          <w:u w:val="single"/>
        </w:rPr>
      </w:pPr>
      <w:r>
        <w:rPr>
          <w:rFonts w:hint="eastAsia" w:ascii="黑体" w:hAnsi="Calibri" w:eastAsia="黑体"/>
          <w:color w:val="auto"/>
          <w:sz w:val="32"/>
          <w:szCs w:val="32"/>
          <w:highlight w:val="none"/>
        </w:rPr>
        <w:tab/>
      </w:r>
      <w:r>
        <w:rPr>
          <w:rFonts w:hint="eastAsia" w:ascii="黑体" w:eastAsia="黑体"/>
          <w:color w:val="auto"/>
          <w:sz w:val="32"/>
          <w:szCs w:val="32"/>
          <w:highlight w:val="none"/>
        </w:rPr>
        <w:t xml:space="preserve">签订时间：</w:t>
      </w:r>
      <w:r>
        <w:rPr>
          <w:rFonts w:hint="eastAsia" w:ascii="黑体" w:eastAsia="黑体"/>
          <w:color w:val="auto"/>
          <w:sz w:val="32"/>
          <w:szCs w:val="32"/>
          <w:highlight w:val="none"/>
          <w:u w:val="single"/>
        </w:rPr>
        <w:t xml:space="preserve">                                     </w:t>
      </w:r>
      <w:r/>
    </w:p>
    <w:p>
      <w:pPr>
        <w:pStyle w:val="891"/>
        <w:ind w:firstLine="495"/>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91"/>
        <w:ind w:firstLine="495"/>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91"/>
        <w:spacing w:before="120" w:after="120" w:line="360" w:lineRule="auto"/>
        <w:rPr>
          <w:rFonts w:asciiTheme="minorEastAsia" w:hAnsiTheme="minorEastAsia" w:eastAsiaTheme="minorEastAsia"/>
          <w:color w:val="auto"/>
          <w:sz w:val="24"/>
          <w:szCs w:val="24"/>
          <w:highlight w:val="none"/>
        </w:rPr>
      </w:pPr>
      <w:r>
        <w:rPr>
          <w:rFonts w:asciiTheme="minorEastAsia" w:hAnsiTheme="minorEastAsia" w:eastAsiaTheme="minorEastAsia"/>
          <w:color w:val="auto"/>
          <w:sz w:val="24"/>
          <w:szCs w:val="24"/>
          <w:highlight w:val="none"/>
        </w:rPr>
      </w:r>
      <w:r/>
    </w:p>
    <w:p>
      <w:pPr>
        <w:pStyle w:val="891"/>
        <w:ind w:firstLine="49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江苏开放大学环境生态学院实验室仪器设备采购</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合同</w:t>
      </w:r>
      <w:r/>
    </w:p>
    <w:p>
      <w:pPr>
        <w:pStyle w:val="891"/>
        <w:ind w:firstLine="495"/>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根据《中华人民共和国政府采购法》《中华人民共和国民法典》等法律、法规规定，按照江苏开放大学</w:t>
      </w:r>
      <w:r>
        <w:rPr>
          <w:rFonts w:hint="eastAsia" w:asciiTheme="minorEastAsia" w:hAnsiTheme="minorEastAsia" w:eastAsiaTheme="minorEastAsia"/>
          <w:color w:val="auto"/>
          <w:szCs w:val="21"/>
          <w:highlight w:val="none"/>
          <w:u w:val="single"/>
        </w:rPr>
        <w:t xml:space="preserve"> 江苏开放大学环境生态学院实验室仪器设备采购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（项目编号）</w:t>
      </w:r>
      <w:r>
        <w:rPr>
          <w:rFonts w:hint="eastAsia" w:asciiTheme="minorEastAsia" w:hAnsiTheme="minorEastAsia" w:eastAsiaTheme="minorEastAsia"/>
          <w:color w:val="auto"/>
          <w:szCs w:val="21"/>
          <w:highlight w:val="none"/>
        </w:rPr>
        <w:t xml:space="preserve">招标</w:t>
      </w:r>
      <w:r>
        <w:rPr>
          <w:rFonts w:hint="eastAsia" w:hAnsi="宋体"/>
          <w:color w:val="auto"/>
          <w:szCs w:val="21"/>
          <w:highlight w:val="none"/>
        </w:rPr>
        <w:t xml:space="preserve">（</w:t>
      </w:r>
      <w:r>
        <w:rPr>
          <w:rFonts w:hint="eastAsia" w:asciiTheme="minorEastAsia" w:hAnsiTheme="minorEastAsia" w:eastAsiaTheme="minorEastAsia"/>
          <w:color w:val="auto"/>
          <w:szCs w:val="21"/>
          <w:highlight w:val="none"/>
        </w:rPr>
        <w:t xml:space="preserve">采购）文件、乙方投标（响应）文件条款和中标（成交）人承诺等，</w:t>
      </w:r>
      <w:r>
        <w:rPr>
          <w:rFonts w:hint="eastAsia" w:hAnsi="宋体"/>
          <w:color w:val="auto"/>
          <w:szCs w:val="21"/>
          <w:highlight w:val="none"/>
        </w:rPr>
        <w:t xml:space="preserve">甲方向乙方购置相关货物，</w:t>
      </w:r>
      <w:r>
        <w:rPr>
          <w:rFonts w:asciiTheme="minorEastAsia" w:hAnsiTheme="minorEastAsia" w:eastAsiaTheme="minorEastAsia"/>
          <w:color w:val="auto"/>
          <w:szCs w:val="21"/>
          <w:highlight w:val="none"/>
        </w:rPr>
        <w:t xml:space="preserve">双方</w:t>
      </w:r>
      <w:r>
        <w:rPr>
          <w:rFonts w:hint="eastAsia" w:asciiTheme="minorEastAsia" w:hAnsiTheme="minorEastAsia" w:eastAsiaTheme="minorEastAsia"/>
          <w:color w:val="auto"/>
          <w:szCs w:val="21"/>
          <w:highlight w:val="none"/>
        </w:rPr>
        <w:t xml:space="preserve">同意按下述条款</w:t>
      </w:r>
      <w:r>
        <w:rPr>
          <w:rFonts w:asciiTheme="minorEastAsia" w:hAnsiTheme="minorEastAsia" w:eastAsiaTheme="minorEastAsia"/>
          <w:color w:val="auto"/>
          <w:szCs w:val="21"/>
          <w:highlight w:val="none"/>
        </w:rPr>
        <w:t xml:space="preserve">签</w:t>
      </w:r>
      <w:r>
        <w:rPr>
          <w:rFonts w:hint="eastAsia" w:asciiTheme="minorEastAsia" w:hAnsiTheme="minorEastAsia" w:eastAsiaTheme="minorEastAsia"/>
          <w:color w:val="auto"/>
          <w:szCs w:val="21"/>
          <w:highlight w:val="none"/>
        </w:rPr>
        <w:t xml:space="preserve">订</w:t>
      </w:r>
      <w:r>
        <w:rPr>
          <w:rFonts w:asciiTheme="minorEastAsia" w:hAnsiTheme="minorEastAsia" w:eastAsiaTheme="minorEastAsia"/>
          <w:color w:val="auto"/>
          <w:szCs w:val="21"/>
          <w:highlight w:val="none"/>
        </w:rPr>
        <w:t xml:space="preserve">本合同</w:t>
      </w:r>
      <w:r>
        <w:rPr>
          <w:rFonts w:hint="eastAsia" w:asciiTheme="minorEastAsia" w:hAnsiTheme="minorEastAsia" w:eastAsiaTheme="minorEastAsia"/>
          <w:color w:val="auto"/>
          <w:szCs w:val="21"/>
          <w:highlight w:val="none"/>
        </w:rPr>
        <w:t xml:space="preserve">，并共同遵守</w:t>
      </w:r>
      <w:r>
        <w:rPr>
          <w:rFonts w:asciiTheme="minorEastAsia" w:hAnsiTheme="minorEastAsia" w:eastAsiaTheme="minorEastAsia"/>
          <w:color w:val="auto"/>
          <w:szCs w:val="21"/>
          <w:highlight w:val="none"/>
        </w:rPr>
        <w:t xml:space="preserve">。</w:t>
      </w:r>
      <w:r/>
    </w:p>
    <w:p>
      <w:pPr>
        <w:pStyle w:val="891"/>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一、</w:t>
      </w:r>
      <w:r>
        <w:rPr>
          <w:rFonts w:hint="eastAsia" w:asciiTheme="minorEastAsia" w:hAnsiTheme="minorEastAsia" w:eastAsiaTheme="minorEastAsia"/>
          <w:b/>
          <w:color w:val="auto"/>
          <w:szCs w:val="21"/>
          <w:highlight w:val="none"/>
        </w:rPr>
        <w:t xml:space="preserve">货物明细</w:t>
      </w:r>
      <w:r/>
    </w:p>
    <w:p>
      <w:pPr>
        <w:pStyle w:val="891"/>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乙方负责向甲方提供以下货物：</w:t>
      </w:r>
      <w:r/>
    </w:p>
    <w:tbl>
      <w:tblPr>
        <w:tblStyle w:val="869"/>
        <w:tblW w:w="9354"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4"/>
        <w:gridCol w:w="1766"/>
        <w:gridCol w:w="2203"/>
        <w:gridCol w:w="851"/>
        <w:gridCol w:w="1417"/>
        <w:gridCol w:w="1134"/>
        <w:gridCol w:w="1259"/>
      </w:tblGrid>
      <w:tr>
        <w:trPr>
          <w:trHeight w:val="435"/>
        </w:trPr>
        <w:tc>
          <w:tcPr>
            <w:tcW w:w="724"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序号</w:t>
            </w:r>
            <w:r/>
          </w:p>
        </w:tc>
        <w:tc>
          <w:tcPr>
            <w:tcW w:w="1766"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品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名</w:t>
            </w:r>
            <w:r/>
          </w:p>
        </w:tc>
        <w:tc>
          <w:tcPr>
            <w:tcW w:w="2203"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型号规格</w:t>
            </w:r>
            <w:r/>
          </w:p>
        </w:tc>
        <w:tc>
          <w:tcPr>
            <w:tcW w:w="851"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数量</w:t>
            </w:r>
            <w:r/>
          </w:p>
        </w:tc>
        <w:tc>
          <w:tcPr>
            <w:tcW w:w="1417"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 价</w:t>
            </w:r>
            <w:r/>
          </w:p>
        </w:tc>
        <w:tc>
          <w:tcPr>
            <w:tcW w:w="1134"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总 价</w:t>
            </w:r>
            <w:r/>
          </w:p>
        </w:tc>
        <w:tc>
          <w:tcPr>
            <w:tcW w:w="1259"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免费质保期</w:t>
            </w:r>
            <w:r/>
          </w:p>
        </w:tc>
      </w:tr>
      <w:tr>
        <w:trPr>
          <w:trHeight w:val="555"/>
        </w:trPr>
        <w:tc>
          <w:tcPr>
            <w:tcW w:w="724"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p>
        </w:tc>
        <w:tc>
          <w:tcPr>
            <w:tcW w:w="1766"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trHeight w:val="537"/>
        </w:trPr>
        <w:tc>
          <w:tcPr>
            <w:tcW w:w="724"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p>
        </w:tc>
        <w:tc>
          <w:tcPr>
            <w:tcW w:w="1766"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r>
        <w:trPr>
          <w:trHeight w:val="615"/>
        </w:trPr>
        <w:tc>
          <w:tcPr>
            <w:tcW w:w="724"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合计</w:t>
            </w:r>
            <w:r/>
          </w:p>
        </w:tc>
        <w:tc>
          <w:tcPr>
            <w:tcW w:w="1766"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2203"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851"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417"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134"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c>
          <w:tcPr>
            <w:tcW w:w="1259" w:type="dxa"/>
            <w:textDirection w:val="lrTb"/>
            <w:noWrap w:val="false"/>
          </w:tcPr>
          <w:p>
            <w:pPr>
              <w:pStyle w:val="891"/>
              <w:ind w:left="15"/>
              <w:jc w:val="center"/>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tc>
      </w:tr>
    </w:tbl>
    <w:p>
      <w:pPr>
        <w:pStyle w:val="891"/>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（注：表格可视情况增加）</w:t>
      </w:r>
      <w:r/>
    </w:p>
    <w:p>
      <w:pPr>
        <w:pStyle w:val="891"/>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二、金额</w:t>
      </w:r>
      <w:r>
        <w:rPr>
          <w:rFonts w:hint="eastAsia" w:asciiTheme="minorEastAsia" w:hAnsiTheme="minorEastAsia" w:eastAsiaTheme="minorEastAsia"/>
          <w:b/>
          <w:color w:val="auto"/>
          <w:szCs w:val="21"/>
          <w:highlight w:val="none"/>
        </w:rPr>
        <w:t xml:space="preserve">与支付</w:t>
      </w:r>
      <w:r/>
    </w:p>
    <w:p>
      <w:pPr>
        <w:pStyle w:val="891"/>
        <w:ind w:firstLine="440"/>
        <w:spacing w:before="120" w:after="120" w:line="360" w:lineRule="auto"/>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1.本合同</w:t>
      </w:r>
      <w:r>
        <w:rPr>
          <w:rFonts w:hint="eastAsia" w:asciiTheme="minorEastAsia" w:hAnsiTheme="minorEastAsia" w:eastAsiaTheme="minorEastAsia"/>
          <w:color w:val="auto"/>
          <w:szCs w:val="21"/>
          <w:highlight w:val="none"/>
        </w:rPr>
        <w:t xml:space="preserve">总</w:t>
      </w:r>
      <w:r>
        <w:rPr>
          <w:rFonts w:asciiTheme="minorEastAsia" w:hAnsiTheme="minorEastAsia" w:eastAsiaTheme="minorEastAsia"/>
          <w:color w:val="auto"/>
          <w:szCs w:val="21"/>
          <w:highlight w:val="none"/>
        </w:rPr>
        <w:t xml:space="preserve">金额为</w:t>
      </w:r>
      <w:r>
        <w:rPr>
          <w:rFonts w:hint="eastAsia" w:asciiTheme="minorEastAsia" w:hAnsiTheme="minorEastAsia" w:eastAsiaTheme="minorEastAsia"/>
          <w:color w:val="auto"/>
          <w:szCs w:val="21"/>
          <w:highlight w:val="none"/>
        </w:rPr>
        <w:t xml:space="preserve">人民币</w:t>
      </w:r>
      <w:r>
        <w:rPr>
          <w:rFonts w:asciiTheme="minorEastAsia" w:hAnsiTheme="minorEastAsia" w:eastAsiaTheme="minorEastAsia"/>
          <w:color w:val="auto"/>
          <w:szCs w:val="21"/>
          <w:highlight w:val="none"/>
        </w:rPr>
        <w:t xml:space="preserve">（大写）：</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元（小写：</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元</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w:t>
      </w:r>
      <w:r/>
    </w:p>
    <w:p>
      <w:pPr>
        <w:pStyle w:val="891"/>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合同金额包含项目实施所有费用（包装、仓储、运输、安装、保险、劳保及验收合格之前及保修期内的所有含税费用、专利技术及相关所发生的全部费用）以及供应商利润、税金及合同包含的所有风险、责任等各项应有费用，还应包括乙方应当提供的伴随服务/售后服务费用。除非因特殊原因并经双方协商同意，乙方不得要求追加任何费用。同时，除非合同条款中另有规定，乙方所报价格在合同实施期间不因市场变化因素而变动。</w:t>
      </w:r>
      <w:r/>
    </w:p>
    <w:p>
      <w:pPr>
        <w:pStyle w:val="939"/>
        <w:ind w:left="0" w:firstLine="440"/>
        <w:spacing w:line="360" w:lineRule="auto"/>
        <w:rPr>
          <w:color w:val="auto"/>
          <w:highlight w:val="none"/>
          <w:lang w:val="en-US"/>
        </w:rPr>
      </w:pPr>
      <w:r>
        <w:rPr>
          <w:rFonts w:hint="eastAsia" w:asciiTheme="minorEastAsia" w:hAnsiTheme="minorEastAsia" w:eastAsiaTheme="minorEastAsia"/>
          <w:color w:val="auto"/>
          <w:szCs w:val="21"/>
          <w:highlight w:val="none"/>
          <w:lang w:val="en-US"/>
        </w:rPr>
        <w:t xml:space="preserve">3</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由甲方按照下列程序付款：</w:t>
      </w:r>
      <w:r>
        <w:rPr>
          <w:rFonts w:hint="eastAsia"/>
          <w:color w:val="auto"/>
          <w:highlight w:val="none"/>
          <w:lang w:val="en-US"/>
        </w:rPr>
        <w:t xml:space="preserve">合同签订后，中标供应商实施完成项目并通过采购人组织的验收后10个工作日，凭对应金额正式发票采购人支付合同总价的95％给中标人；项目验收合格后一年后付款5%。</w:t>
      </w:r>
      <w:r/>
    </w:p>
    <w:p>
      <w:pPr>
        <w:pStyle w:val="939"/>
        <w:ind w:left="0" w:firstLine="442"/>
        <w:spacing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三</w:t>
      </w:r>
      <w:r>
        <w:rPr>
          <w:rFonts w:asciiTheme="minorEastAsia" w:hAnsiTheme="minorEastAsia" w:eastAsiaTheme="minorEastAsia"/>
          <w:b/>
          <w:color w:val="auto"/>
          <w:szCs w:val="21"/>
          <w:highlight w:val="none"/>
        </w:rPr>
        <w:t xml:space="preserve">、履约保证金</w:t>
      </w:r>
      <w:r/>
    </w:p>
    <w:p>
      <w:pPr>
        <w:pStyle w:val="880"/>
        <w:ind w:firstLine="440"/>
        <w:jc w:val="both"/>
        <w:spacing w:before="120" w:after="120" w:line="360" w:lineRule="auto"/>
        <w:rPr>
          <w:bCs/>
          <w:color w:val="auto"/>
          <w:szCs w:val="21"/>
          <w:highlight w:val="none"/>
        </w:rPr>
      </w:pPr>
      <w:r>
        <w:rPr>
          <w:rFonts w:hint="eastAsia" w:asciiTheme="minorEastAsia" w:hAnsiTheme="minorEastAsia" w:eastAsiaTheme="minorEastAsia"/>
          <w:bCs/>
          <w:color w:val="auto"/>
          <w:szCs w:val="21"/>
          <w:highlight w:val="none"/>
          <w:lang w:val="en-US"/>
        </w:rPr>
        <w:t xml:space="preserve">本项目不要求履约保证金。</w:t>
      </w:r>
      <w:r/>
    </w:p>
    <w:p>
      <w:pPr>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四、转包或分包</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本合同范围的货物应由乙方直接供应，不得转让他人供应。</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除非得到甲方的书面同意，乙方不得部分分包给他人供应。</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如有转让和未经甲方同意的分包行为，甲方有权终止合同。</w:t>
      </w:r>
      <w:r/>
    </w:p>
    <w:p>
      <w:pPr>
        <w:pStyle w:val="891"/>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五</w:t>
      </w:r>
      <w:r>
        <w:rPr>
          <w:rFonts w:asciiTheme="minorEastAsia" w:hAnsiTheme="minorEastAsia" w:eastAsiaTheme="minorEastAsia"/>
          <w:b/>
          <w:color w:val="auto"/>
          <w:szCs w:val="21"/>
          <w:highlight w:val="none"/>
        </w:rPr>
        <w:t xml:space="preserve">、技术资料</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文件规定的时间向甲方提供有关使用货物</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技术资料。</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1"/>
        <w:ind w:firstLine="378"/>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六</w:t>
      </w:r>
      <w:r>
        <w:rPr>
          <w:rFonts w:asciiTheme="minorEastAsia" w:hAnsiTheme="minorEastAsia" w:eastAsiaTheme="minorEastAsia"/>
          <w:b/>
          <w:color w:val="auto"/>
          <w:szCs w:val="21"/>
          <w:highlight w:val="none"/>
        </w:rPr>
        <w:t xml:space="preserve">、知识产权</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w:t>
      </w:r>
      <w:r>
        <w:rPr>
          <w:rFonts w:hint="eastAsia" w:asciiTheme="minorEastAsia" w:hAnsiTheme="minorEastAsia" w:eastAsiaTheme="minorEastAsia"/>
          <w:color w:val="auto"/>
          <w:szCs w:val="21"/>
          <w:highlight w:val="none"/>
        </w:rPr>
        <w:t xml:space="preserve">方应保证甲方在使用、接受本合同货物或其任何一部分时不受第三方提出侵犯其专利权、版权、商标权和工业设计权等知识产权的起诉。如发生侵权等争议，乙方负责处理并承担由此引发的全部责任。</w:t>
      </w:r>
      <w:r/>
    </w:p>
    <w:p>
      <w:pPr>
        <w:pStyle w:val="891"/>
        <w:ind w:firstLine="442"/>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
          <w:color w:val="auto"/>
          <w:szCs w:val="21"/>
          <w:highlight w:val="none"/>
        </w:rPr>
        <w:t xml:space="preserve">七</w:t>
      </w:r>
      <w:r>
        <w:rPr>
          <w:rFonts w:asciiTheme="minorEastAsia" w:hAnsiTheme="minorEastAsia" w:eastAsiaTheme="minorEastAsia"/>
          <w:b/>
          <w:color w:val="auto"/>
          <w:szCs w:val="21"/>
          <w:highlight w:val="none"/>
        </w:rPr>
        <w:t xml:space="preserve">、产权担保</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乙方保证所交付的货物的所有权完全属于乙方且无任何抵押、查封等产权瑕疵。</w:t>
      </w:r>
      <w:r/>
    </w:p>
    <w:p>
      <w:pPr>
        <w:pStyle w:val="891"/>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八</w:t>
      </w:r>
      <w:r>
        <w:rPr>
          <w:rFonts w:asciiTheme="minorEastAsia" w:hAnsiTheme="minorEastAsia" w:eastAsiaTheme="minorEastAsia"/>
          <w:b/>
          <w:color w:val="auto"/>
          <w:szCs w:val="21"/>
          <w:highlight w:val="none"/>
        </w:rPr>
        <w:t xml:space="preserve">、交货期、交货方式及交货地点</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乙方交付的货物应当完全符合本合同或招标（采购）文件所规定的货物数量和规格要求。乙方不得少交或者多交货物。乙方提供的货物不符合招标（采购）文件、投标（响应）文件和合同规定的，甲方有权拒收货物，由此产生的一切损失，由乙方承担。</w:t>
      </w:r>
      <w:r/>
    </w:p>
    <w:p>
      <w:pPr>
        <w:pStyle w:val="891"/>
        <w:ind w:firstLine="440"/>
        <w:spacing w:before="120" w:after="120" w:line="360" w:lineRule="auto"/>
        <w:rPr>
          <w:rFonts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w:t>
      </w:r>
      <w:r>
        <w:rPr>
          <w:rFonts w:asciiTheme="minorEastAsia" w:hAnsiTheme="minorEastAsia" w:eastAsiaTheme="minorEastAsia"/>
          <w:bCs/>
          <w:color w:val="auto"/>
          <w:szCs w:val="21"/>
          <w:highlight w:val="none"/>
        </w:rPr>
        <w:t xml:space="preserve">交货期：</w:t>
      </w:r>
      <w:r>
        <w:rPr>
          <w:rFonts w:asciiTheme="minorEastAsia" w:hAnsiTheme="minorEastAsia" w:eastAsiaTheme="minorEastAsia"/>
          <w:color w:val="auto"/>
          <w:szCs w:val="21"/>
          <w:highlight w:val="none"/>
          <w:u w:val="single"/>
        </w:rPr>
        <w:t xml:space="preserve">                                                         </w:t>
      </w:r>
      <w:r/>
    </w:p>
    <w:p>
      <w:pPr>
        <w:pStyle w:val="891"/>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Cs/>
          <w:color w:val="auto"/>
          <w:szCs w:val="21"/>
          <w:highlight w:val="none"/>
        </w:rPr>
        <w:t xml:space="preserve">3.</w:t>
      </w:r>
      <w:r>
        <w:rPr>
          <w:rFonts w:asciiTheme="minorEastAsia" w:hAnsiTheme="minorEastAsia" w:eastAsiaTheme="minorEastAsia"/>
          <w:bCs/>
          <w:color w:val="auto"/>
          <w:szCs w:val="21"/>
          <w:highlight w:val="none"/>
        </w:rPr>
        <w:t xml:space="preserve">交货方式：</w:t>
      </w:r>
      <w:r>
        <w:rPr>
          <w:rFonts w:asciiTheme="minorEastAsia" w:hAnsiTheme="minorEastAsia" w:eastAsiaTheme="minorEastAsia"/>
          <w:color w:val="auto"/>
          <w:szCs w:val="21"/>
          <w:highlight w:val="none"/>
          <w:u w:val="single"/>
        </w:rPr>
        <w:t xml:space="preserve">                                                        </w:t>
      </w:r>
      <w:r/>
    </w:p>
    <w:p>
      <w:pPr>
        <w:pStyle w:val="891"/>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bCs/>
          <w:color w:val="auto"/>
          <w:szCs w:val="21"/>
          <w:highlight w:val="none"/>
        </w:rPr>
        <w:t xml:space="preserve">4.</w:t>
      </w:r>
      <w:r>
        <w:rPr>
          <w:rFonts w:asciiTheme="minorEastAsia" w:hAnsiTheme="minorEastAsia" w:eastAsiaTheme="minorEastAsia"/>
          <w:bCs/>
          <w:color w:val="auto"/>
          <w:szCs w:val="21"/>
          <w:highlight w:val="none"/>
        </w:rPr>
        <w:t xml:space="preserve">交货地点：</w:t>
      </w:r>
      <w:r>
        <w:rPr>
          <w:rFonts w:asciiTheme="minorEastAsia" w:hAnsiTheme="minorEastAsia" w:eastAsiaTheme="minorEastAsia"/>
          <w:color w:val="auto"/>
          <w:szCs w:val="21"/>
          <w:highlight w:val="none"/>
          <w:u w:val="single"/>
        </w:rPr>
        <w:t xml:space="preserve">                                                         </w:t>
      </w:r>
      <w:r/>
    </w:p>
    <w:p>
      <w:pPr>
        <w:pStyle w:val="891"/>
        <w:ind w:firstLine="44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5.甲方联系人：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 电话：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pStyle w:val="891"/>
        <w:ind w:firstLine="660"/>
        <w:spacing w:before="120" w:after="120" w:line="360" w:lineRule="auto"/>
        <w:rPr>
          <w:rFonts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乙方联系人：</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 电话：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pStyle w:val="891"/>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九</w:t>
      </w:r>
      <w:r>
        <w:rPr>
          <w:rFonts w:asciiTheme="minorEastAsia" w:hAnsiTheme="minorEastAsia" w:eastAsiaTheme="minorEastAsia"/>
          <w:b/>
          <w:color w:val="auto"/>
          <w:szCs w:val="21"/>
          <w:highlight w:val="none"/>
        </w:rPr>
        <w:t xml:space="preserve">、货物包装、发运及运输</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1.乙方应在货物发运前对其进行满足运输距离、防潮、防震、防锈和防破损装卸等要求</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包装，以保证货物安全运达甲方指定地点。</w:t>
      </w:r>
      <w:r>
        <w:rPr>
          <w:rFonts w:hint="eastAsia" w:asciiTheme="minorEastAsia" w:hAnsiTheme="minorEastAsia" w:eastAsiaTheme="minorEastAsia"/>
          <w:color w:val="auto"/>
          <w:szCs w:val="21"/>
          <w:highlight w:val="none"/>
        </w:rPr>
        <w:t xml:space="preserve">由于包装不善引起的货物损失均由乙方承担。</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2.使用说明书、质量检验证明书、随配附件和工具及清单一并附于货物内</w:t>
      </w:r>
      <w:r>
        <w:rPr>
          <w:rFonts w:hint="eastAsia" w:asciiTheme="minorEastAsia" w:hAnsiTheme="minorEastAsia" w:eastAsiaTheme="minorEastAsia"/>
          <w:color w:val="auto"/>
          <w:szCs w:val="21"/>
          <w:highlight w:val="none"/>
        </w:rPr>
        <w:t xml:space="preserve">，且每一包装单元内应附详细的装箱单和质量合格凭证；乙方不能完整交付货物及本款规定的单证和工具的，视为未按合同约定交货，乙方负责补齐，因此导致逾期交货的，由乙方承担相应责任。</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3.乙方在货物发运手续办理完毕后24小时内或货到甲方48小时前通知甲方，以准备接货。</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4.货物</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在规定的交</w:t>
      </w:r>
      <w:r>
        <w:rPr>
          <w:rFonts w:hint="eastAsia" w:asciiTheme="minorEastAsia" w:hAnsiTheme="minorEastAsia" w:eastAsiaTheme="minorEastAsia"/>
          <w:color w:val="auto"/>
          <w:szCs w:val="21"/>
          <w:highlight w:val="none"/>
        </w:rPr>
        <w:t xml:space="preserve">货</w:t>
      </w:r>
      <w:r>
        <w:rPr>
          <w:rFonts w:asciiTheme="minorEastAsia" w:hAnsiTheme="minorEastAsia" w:eastAsiaTheme="minorEastAsia"/>
          <w:color w:val="auto"/>
          <w:szCs w:val="21"/>
          <w:highlight w:val="none"/>
        </w:rPr>
        <w:t xml:space="preserve">期限内由乙方送达甲方指定的地点，乙方</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同时通知甲方货物已送达。</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5.</w:t>
      </w:r>
      <w:r>
        <w:rPr>
          <w:rFonts w:hint="eastAsia" w:asciiTheme="minorEastAsia" w:hAnsiTheme="minorEastAsia" w:eastAsiaTheme="minorEastAsia"/>
          <w:bCs/>
          <w:color w:val="auto"/>
          <w:szCs w:val="21"/>
          <w:highlight w:val="none"/>
        </w:rPr>
        <w:t xml:space="preserve">乙方将货物运送至甲方指定地点并经甲方验收合格之前，货物的所有权、一切风险责任及由此产生的一切相关费用均由乙方承担。</w:t>
      </w:r>
      <w:r/>
    </w:p>
    <w:p>
      <w:pPr>
        <w:pStyle w:val="891"/>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十、调试和验收</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1.乙方交货前应对产品</w:t>
      </w:r>
      <w:r>
        <w:rPr>
          <w:rFonts w:hint="eastAsia" w:asciiTheme="minorEastAsia" w:hAnsiTheme="minorEastAsia" w:eastAsiaTheme="minorEastAsia"/>
          <w:color w:val="auto"/>
          <w:szCs w:val="21"/>
          <w:highlight w:val="none"/>
        </w:rPr>
        <w:t xml:space="preserve">做出</w:t>
      </w:r>
      <w:r>
        <w:rPr>
          <w:rFonts w:asciiTheme="minorEastAsia" w:hAnsiTheme="minorEastAsia" w:eastAsiaTheme="minorEastAsia"/>
          <w:color w:val="auto"/>
          <w:szCs w:val="21"/>
          <w:highlight w:val="none"/>
        </w:rPr>
        <w:t xml:space="preserve">全面检查和对验收文件进行整理，并列出清单，作为甲方收货验收和使用的技术条件依据，检验的结果应随货物交甲方。</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2.甲方依据招标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文件上的技术规格要求和国家有关质量标准对乙方提交的货物进行现场初步验收，外观、说明书符合招标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文件技术要求的，给予签收，初步验收不合格的不予签收。甲方在货到后五个工作日内验收。</w:t>
      </w:r>
      <w:r/>
    </w:p>
    <w:p>
      <w:pPr>
        <w:pStyle w:val="891"/>
        <w:ind w:firstLine="440"/>
        <w:spacing w:before="120" w:after="120" w:line="360" w:lineRule="auto"/>
        <w:rPr>
          <w:rFonts w:asciiTheme="minorEastAsia" w:hAnsiTheme="minorEastAsia" w:eastAsiaTheme="minorEastAsia"/>
          <w:color w:val="auto"/>
          <w:szCs w:val="21"/>
          <w:highlight w:val="none"/>
          <w:u w:val="single"/>
        </w:rPr>
      </w:pPr>
      <w:r>
        <w:rPr>
          <w:rFonts w:asciiTheme="minorEastAsia" w:hAnsiTheme="minorEastAsia" w:eastAsiaTheme="minorEastAsia"/>
          <w:color w:val="auto"/>
          <w:szCs w:val="21"/>
          <w:highlight w:val="none"/>
        </w:rPr>
        <w:t xml:space="preserve">3.甲方在使用前对乙方提供的货物进行调试时，乙方</w:t>
      </w:r>
      <w:r>
        <w:rPr>
          <w:rFonts w:hint="eastAsia" w:asciiTheme="minorEastAsia" w:hAnsiTheme="minorEastAsia" w:eastAsiaTheme="minorEastAsia"/>
          <w:color w:val="auto"/>
          <w:szCs w:val="21"/>
          <w:highlight w:val="none"/>
        </w:rPr>
        <w:t xml:space="preserve">须</w:t>
      </w:r>
      <w:r>
        <w:rPr>
          <w:rFonts w:asciiTheme="minorEastAsia" w:hAnsiTheme="minorEastAsia" w:eastAsiaTheme="minorEastAsia"/>
          <w:color w:val="auto"/>
          <w:szCs w:val="21"/>
          <w:highlight w:val="none"/>
        </w:rPr>
        <w:t xml:space="preserve">负责安装，并</w:t>
      </w:r>
      <w:r>
        <w:rPr>
          <w:rFonts w:hint="eastAsia" w:asciiTheme="minorEastAsia" w:hAnsiTheme="minorEastAsia" w:eastAsiaTheme="minorEastAsia"/>
          <w:color w:val="auto"/>
          <w:szCs w:val="21"/>
          <w:highlight w:val="none"/>
        </w:rPr>
        <w:t xml:space="preserve">负责培训甲方使用操作</w:t>
      </w:r>
      <w:r>
        <w:rPr>
          <w:rFonts w:asciiTheme="minorEastAsia" w:hAnsiTheme="minorEastAsia" w:eastAsiaTheme="minorEastAsia"/>
          <w:color w:val="auto"/>
          <w:szCs w:val="21"/>
          <w:highlight w:val="none"/>
        </w:rPr>
        <w:t xml:space="preserve">，直到符合</w:t>
      </w:r>
      <w:r>
        <w:rPr>
          <w:rFonts w:hint="eastAsia" w:asciiTheme="minorEastAsia" w:hAnsiTheme="minorEastAsia" w:eastAsiaTheme="minorEastAsia"/>
          <w:color w:val="auto"/>
          <w:szCs w:val="21"/>
          <w:highlight w:val="none"/>
        </w:rPr>
        <w:t xml:space="preserve">相关</w:t>
      </w:r>
      <w:r>
        <w:rPr>
          <w:rFonts w:asciiTheme="minorEastAsia" w:hAnsiTheme="minorEastAsia" w:eastAsiaTheme="minorEastAsia"/>
          <w:color w:val="auto"/>
          <w:szCs w:val="21"/>
          <w:highlight w:val="none"/>
        </w:rPr>
        <w:t xml:space="preserve">要求，甲方</w:t>
      </w:r>
      <w:r>
        <w:rPr>
          <w:rFonts w:hint="eastAsia" w:asciiTheme="minorEastAsia" w:hAnsiTheme="minorEastAsia" w:eastAsiaTheme="minorEastAsia"/>
          <w:color w:val="auto"/>
          <w:szCs w:val="21"/>
          <w:highlight w:val="none"/>
        </w:rPr>
        <w:t xml:space="preserve">予以</w:t>
      </w:r>
      <w:r>
        <w:rPr>
          <w:rFonts w:asciiTheme="minorEastAsia" w:hAnsiTheme="minorEastAsia" w:eastAsiaTheme="minorEastAsia"/>
          <w:color w:val="auto"/>
          <w:szCs w:val="21"/>
          <w:highlight w:val="none"/>
        </w:rPr>
        <w:t xml:space="preserve">最终验收。</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4.对技术复杂的货物，甲方</w:t>
      </w:r>
      <w:r>
        <w:rPr>
          <w:rFonts w:hint="eastAsia" w:asciiTheme="minorEastAsia" w:hAnsiTheme="minorEastAsia" w:eastAsiaTheme="minorEastAsia"/>
          <w:color w:val="auto"/>
          <w:szCs w:val="21"/>
          <w:highlight w:val="none"/>
        </w:rPr>
        <w:t xml:space="preserve">可</w:t>
      </w:r>
      <w:r>
        <w:rPr>
          <w:rFonts w:asciiTheme="minorEastAsia" w:hAnsiTheme="minorEastAsia" w:eastAsiaTheme="minorEastAsia"/>
          <w:color w:val="auto"/>
          <w:szCs w:val="21"/>
          <w:highlight w:val="none"/>
        </w:rPr>
        <w:t xml:space="preserve">请国家认可的专业检测机构参与初步验收及最终验收，并由其出具质量检测报告。</w:t>
      </w:r>
      <w:r/>
    </w:p>
    <w:p>
      <w:pPr>
        <w:pStyle w:val="891"/>
        <w:ind w:firstLine="440"/>
        <w:spacing w:before="120" w:after="120" w:line="360" w:lineRule="auto"/>
        <w:rPr>
          <w:rFonts w:asciiTheme="minorEastAsia" w:hAnsiTheme="minorEastAsia" w:eastAsiaTheme="minorEastAsia"/>
          <w:bCs/>
          <w:color w:val="auto"/>
          <w:szCs w:val="21"/>
          <w:highlight w:val="none"/>
        </w:rPr>
      </w:pPr>
      <w:r>
        <w:rPr>
          <w:rFonts w:asciiTheme="minorEastAsia" w:hAnsiTheme="minorEastAsia" w:eastAsiaTheme="minorEastAsia"/>
          <w:color w:val="auto"/>
          <w:szCs w:val="21"/>
          <w:highlight w:val="none"/>
        </w:rPr>
        <w:t xml:space="preserve">5.验收时乙方须在现场，验收完毕后</w:t>
      </w:r>
      <w:r>
        <w:rPr>
          <w:rFonts w:hint="eastAsia" w:asciiTheme="minorEastAsia" w:hAnsiTheme="minorEastAsia" w:eastAsiaTheme="minorEastAsia"/>
          <w:color w:val="auto"/>
          <w:szCs w:val="21"/>
          <w:highlight w:val="none"/>
        </w:rPr>
        <w:t xml:space="preserve">形成</w:t>
      </w:r>
      <w:r>
        <w:rPr>
          <w:rFonts w:asciiTheme="minorEastAsia" w:hAnsiTheme="minorEastAsia" w:eastAsiaTheme="minorEastAsia"/>
          <w:color w:val="auto"/>
          <w:szCs w:val="21"/>
          <w:highlight w:val="none"/>
        </w:rPr>
        <w:t xml:space="preserve">验收结果报告</w:t>
      </w:r>
      <w:r>
        <w:rPr>
          <w:rFonts w:hint="eastAsia" w:asciiTheme="minorEastAsia" w:hAnsiTheme="minorEastAsia" w:eastAsiaTheme="minorEastAsia"/>
          <w:color w:val="auto"/>
          <w:szCs w:val="21"/>
          <w:highlight w:val="none"/>
        </w:rPr>
        <w:t xml:space="preserve">。因委托</w:t>
      </w:r>
      <w:r>
        <w:rPr>
          <w:rFonts w:asciiTheme="minorEastAsia" w:hAnsiTheme="minorEastAsia" w:eastAsiaTheme="minorEastAsia"/>
          <w:color w:val="auto"/>
          <w:szCs w:val="21"/>
          <w:highlight w:val="none"/>
        </w:rPr>
        <w:t xml:space="preserve">验收</w:t>
      </w:r>
      <w:r>
        <w:rPr>
          <w:rFonts w:hint="eastAsia" w:asciiTheme="minorEastAsia" w:hAnsiTheme="minorEastAsia" w:eastAsiaTheme="minorEastAsia"/>
          <w:color w:val="auto"/>
          <w:szCs w:val="21"/>
          <w:highlight w:val="none"/>
        </w:rPr>
        <w:t xml:space="preserve">产生的</w:t>
      </w:r>
      <w:r>
        <w:rPr>
          <w:rFonts w:asciiTheme="minorEastAsia" w:hAnsiTheme="minorEastAsia" w:eastAsiaTheme="minorEastAsia"/>
          <w:color w:val="auto"/>
          <w:szCs w:val="21"/>
          <w:highlight w:val="none"/>
        </w:rPr>
        <w:t xml:space="preserve">费用由</w:t>
      </w:r>
      <w:r>
        <w:rPr>
          <w:rFonts w:hint="eastAsia" w:asciiTheme="minorEastAsia" w:hAnsiTheme="minorEastAsia" w:eastAsiaTheme="minorEastAsia"/>
          <w:color w:val="auto"/>
          <w:szCs w:val="21"/>
          <w:highlight w:val="none"/>
        </w:rPr>
        <w:t xml:space="preserve">甲</w:t>
      </w:r>
      <w:r>
        <w:rPr>
          <w:rFonts w:asciiTheme="minorEastAsia" w:hAnsiTheme="minorEastAsia" w:eastAsiaTheme="minorEastAsia"/>
          <w:color w:val="auto"/>
          <w:szCs w:val="21"/>
          <w:highlight w:val="none"/>
        </w:rPr>
        <w:t xml:space="preserve">乙</w:t>
      </w:r>
      <w:r>
        <w:rPr>
          <w:rFonts w:hint="eastAsia" w:asciiTheme="minorEastAsia" w:hAnsiTheme="minorEastAsia" w:eastAsiaTheme="minorEastAsia"/>
          <w:color w:val="auto"/>
          <w:szCs w:val="21"/>
          <w:highlight w:val="none"/>
        </w:rPr>
        <w:t xml:space="preserve">双</w:t>
      </w:r>
      <w:r>
        <w:rPr>
          <w:rFonts w:asciiTheme="minorEastAsia" w:hAnsiTheme="minorEastAsia" w:eastAsiaTheme="minorEastAsia"/>
          <w:color w:val="auto"/>
          <w:szCs w:val="21"/>
          <w:highlight w:val="none"/>
        </w:rPr>
        <w:t xml:space="preserve">方</w:t>
      </w:r>
      <w:r>
        <w:rPr>
          <w:rFonts w:hint="eastAsia" w:asciiTheme="minorEastAsia" w:hAnsiTheme="minorEastAsia" w:eastAsiaTheme="minorEastAsia"/>
          <w:color w:val="auto"/>
          <w:szCs w:val="21"/>
          <w:highlight w:val="none"/>
        </w:rPr>
        <w:t xml:space="preserve">协商解决</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bCs/>
          <w:color w:val="auto"/>
          <w:szCs w:val="21"/>
          <w:highlight w:val="none"/>
        </w:rPr>
        <w:t xml:space="preserve">若货物经验收不符合技术标准或质量要求，由乙方承担验收费用。</w:t>
      </w:r>
      <w:r/>
    </w:p>
    <w:p>
      <w:pPr>
        <w:pStyle w:val="891"/>
        <w:ind w:firstLine="442"/>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b/>
          <w:color w:val="auto"/>
          <w:szCs w:val="21"/>
          <w:highlight w:val="none"/>
        </w:rPr>
        <w:t xml:space="preserve">十一</w:t>
      </w:r>
      <w:r>
        <w:rPr>
          <w:rFonts w:asciiTheme="minorEastAsia" w:hAnsiTheme="minorEastAsia" w:eastAsiaTheme="minorEastAsia"/>
          <w:b/>
          <w:color w:val="auto"/>
          <w:szCs w:val="21"/>
          <w:highlight w:val="none"/>
        </w:rPr>
        <w:t xml:space="preserve">、质保期</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质保期</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年。（自交货验收合格之日起</w:t>
      </w:r>
      <w:r>
        <w:rPr>
          <w:rFonts w:hint="eastAsia" w:asciiTheme="minorEastAsia" w:hAnsiTheme="minorEastAsia" w:eastAsiaTheme="minorEastAsia"/>
          <w:color w:val="auto"/>
          <w:szCs w:val="21"/>
          <w:highlight w:val="none"/>
        </w:rPr>
        <w:t xml:space="preserve">计算</w:t>
      </w:r>
      <w:r>
        <w:rPr>
          <w:rFonts w:asciiTheme="minorEastAsia" w:hAnsiTheme="minorEastAsia" w:eastAsiaTheme="minorEastAsia"/>
          <w:color w:val="auto"/>
          <w:szCs w:val="21"/>
          <w:highlight w:val="none"/>
        </w:rPr>
        <w:t xml:space="preserve">）</w:t>
      </w:r>
      <w:r/>
    </w:p>
    <w:p>
      <w:pPr>
        <w:pStyle w:val="891"/>
        <w:ind w:firstLine="442"/>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二</w:t>
      </w:r>
      <w:r>
        <w:rPr>
          <w:rFonts w:asciiTheme="minorEastAsia" w:hAnsiTheme="minorEastAsia" w:eastAsiaTheme="minorEastAsia"/>
          <w:b/>
          <w:color w:val="auto"/>
          <w:szCs w:val="21"/>
          <w:highlight w:val="none"/>
        </w:rPr>
        <w:t xml:space="preserve">、质量保证及售后服务</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1.乙方应按招标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文件规定的货物性能、技术要求、质量标准向甲方提供未经使用的全新产品。</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2.乙方提供的货物在质</w:t>
      </w:r>
      <w:r>
        <w:rPr>
          <w:rFonts w:hint="eastAsia" w:asciiTheme="minorEastAsia" w:hAnsiTheme="minorEastAsia" w:eastAsiaTheme="minorEastAsia"/>
          <w:color w:val="auto"/>
          <w:szCs w:val="21"/>
          <w:highlight w:val="none"/>
        </w:rPr>
        <w:t xml:space="preserve">保</w:t>
      </w:r>
      <w:r>
        <w:rPr>
          <w:rFonts w:asciiTheme="minorEastAsia" w:hAnsiTheme="minorEastAsia" w:eastAsiaTheme="minorEastAsia"/>
          <w:color w:val="auto"/>
          <w:szCs w:val="21"/>
          <w:highlight w:val="none"/>
        </w:rPr>
        <w:t xml:space="preserve">期内因货物本身质量问题发生故障的，乙方应负责免费更换。对达不到技术要求</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，根据实际情况，经双方协商，可按以下办法处理：</w:t>
      </w:r>
      <w:r/>
    </w:p>
    <w:p>
      <w:pPr>
        <w:pStyle w:val="891"/>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更换：由乙方承担所发生的全部费用。</w:t>
      </w:r>
      <w:r/>
    </w:p>
    <w:p>
      <w:pPr>
        <w:pStyle w:val="891"/>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（2）退</w:t>
      </w:r>
      <w:r>
        <w:rPr>
          <w:rFonts w:asciiTheme="minorEastAsia" w:hAnsiTheme="minorEastAsia" w:eastAsiaTheme="minorEastAsia"/>
          <w:color w:val="auto"/>
          <w:szCs w:val="21"/>
          <w:highlight w:val="none"/>
        </w:rPr>
        <w:t xml:space="preserve">货处理：乙方退还甲方支付的合同款，同时承担该货物的直接费用（运输、保险、检验、货款利息及银行手续费等）。</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3.在质保期内，乙方应对货物出现的质量及安全问题负责处理解决并承担</w:t>
      </w:r>
      <w:r>
        <w:rPr>
          <w:rFonts w:hint="eastAsia" w:asciiTheme="minorEastAsia" w:hAnsiTheme="minorEastAsia" w:eastAsiaTheme="minorEastAsia"/>
          <w:color w:val="auto"/>
          <w:szCs w:val="21"/>
          <w:highlight w:val="none"/>
        </w:rPr>
        <w:t xml:space="preserve">全部</w:t>
      </w:r>
      <w:r>
        <w:rPr>
          <w:rFonts w:asciiTheme="minorEastAsia" w:hAnsiTheme="minorEastAsia" w:eastAsiaTheme="minorEastAsia"/>
          <w:color w:val="auto"/>
          <w:szCs w:val="21"/>
          <w:highlight w:val="none"/>
        </w:rPr>
        <w:t xml:space="preserve">费用。</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4.上述的货物免费保修期为</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rPr>
        <w:t xml:space="preserve">所有货物保修服务方式为乙方上门保修，即由乙方派员到货物使用现场维修。</w:t>
      </w:r>
      <w:r>
        <w:rPr>
          <w:rFonts w:asciiTheme="minorEastAsia" w:hAnsiTheme="minorEastAsia" w:eastAsiaTheme="minorEastAsia"/>
          <w:color w:val="auto"/>
          <w:szCs w:val="21"/>
          <w:highlight w:val="none"/>
        </w:rPr>
        <w:t xml:space="preserve">因人为因素出现的故障不在免费保修范围内。超过保修期的机器设备，终生维修，维修时</w:t>
      </w:r>
      <w:r>
        <w:rPr>
          <w:rFonts w:hint="eastAsia" w:asciiTheme="minorEastAsia" w:hAnsiTheme="minorEastAsia" w:eastAsiaTheme="minorEastAsia"/>
          <w:color w:val="auto"/>
          <w:szCs w:val="21"/>
          <w:highlight w:val="none"/>
        </w:rPr>
        <w:t xml:space="preserve">按</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价格</w:t>
      </w:r>
      <w:r>
        <w:rPr>
          <w:rFonts w:asciiTheme="minorEastAsia" w:hAnsiTheme="minorEastAsia" w:eastAsiaTheme="minorEastAsia"/>
          <w:color w:val="auto"/>
          <w:szCs w:val="21"/>
          <w:highlight w:val="none"/>
        </w:rPr>
        <w:t xml:space="preserve">收</w:t>
      </w:r>
      <w:r>
        <w:rPr>
          <w:rFonts w:hint="eastAsia" w:asciiTheme="minorEastAsia" w:hAnsiTheme="minorEastAsia" w:eastAsiaTheme="minorEastAsia"/>
          <w:color w:val="auto"/>
          <w:szCs w:val="21"/>
          <w:highlight w:val="none"/>
        </w:rPr>
        <w:t xml:space="preserve">取</w:t>
      </w:r>
      <w:r>
        <w:rPr>
          <w:rFonts w:asciiTheme="minorEastAsia" w:hAnsiTheme="minorEastAsia" w:eastAsiaTheme="minorEastAsia"/>
          <w:color w:val="auto"/>
          <w:szCs w:val="21"/>
          <w:highlight w:val="none"/>
        </w:rPr>
        <w:t xml:space="preserve">部件</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成本费。</w:t>
      </w:r>
      <w:r>
        <w:rPr>
          <w:rFonts w:hint="eastAsia" w:asciiTheme="minorEastAsia" w:hAnsiTheme="minorEastAsia" w:eastAsiaTheme="minorEastAsia"/>
          <w:color w:val="auto"/>
          <w:szCs w:val="21"/>
          <w:highlight w:val="none"/>
        </w:rPr>
        <w:t xml:space="preserve">（可根据实际情况调整）</w:t>
      </w:r>
      <w:r/>
    </w:p>
    <w:p>
      <w:pPr>
        <w:pStyle w:val="891"/>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三</w:t>
      </w:r>
      <w:r>
        <w:rPr>
          <w:rFonts w:asciiTheme="minorEastAsia" w:hAnsiTheme="minorEastAsia" w:eastAsiaTheme="minorEastAsia"/>
          <w:b/>
          <w:color w:val="auto"/>
          <w:szCs w:val="21"/>
          <w:highlight w:val="none"/>
        </w:rPr>
        <w:t xml:space="preserve">、违约责任</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1.甲方</w:t>
      </w:r>
      <w:r>
        <w:rPr>
          <w:rFonts w:hint="eastAsia" w:asciiTheme="minorEastAsia" w:hAnsiTheme="minorEastAsia" w:eastAsiaTheme="minorEastAsia"/>
          <w:color w:val="auto"/>
          <w:szCs w:val="21"/>
          <w:highlight w:val="none"/>
        </w:rPr>
        <w:t xml:space="preserve">不得</w:t>
      </w:r>
      <w:r>
        <w:rPr>
          <w:rFonts w:asciiTheme="minorEastAsia" w:hAnsiTheme="minorEastAsia" w:eastAsiaTheme="minorEastAsia"/>
          <w:color w:val="auto"/>
          <w:szCs w:val="21"/>
          <w:highlight w:val="none"/>
        </w:rPr>
        <w:t xml:space="preserve">无正当理由拒收货物，</w:t>
      </w:r>
      <w:r>
        <w:rPr>
          <w:rFonts w:hint="eastAsia" w:asciiTheme="minorEastAsia" w:hAnsiTheme="minorEastAsia" w:eastAsiaTheme="minorEastAsia"/>
          <w:color w:val="auto"/>
          <w:szCs w:val="21"/>
          <w:highlight w:val="none"/>
        </w:rPr>
        <w:t xml:space="preserve">否则由此所造成的损失须由甲方承担赔偿责任。</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2.乙方所交的货物品种、型号、规格、技术参数、质量不符合合同规定及招标</w:t>
      </w:r>
      <w:r>
        <w:rPr>
          <w:rFonts w:hint="eastAsia" w:asciiTheme="minorEastAsia" w:hAnsiTheme="minorEastAsia" w:eastAsiaTheme="minorEastAsia"/>
          <w:color w:val="auto"/>
          <w:szCs w:val="21"/>
          <w:highlight w:val="none"/>
        </w:rPr>
        <w:t xml:space="preserve">（采购）</w:t>
      </w:r>
      <w:r>
        <w:rPr>
          <w:rFonts w:asciiTheme="minorEastAsia" w:hAnsiTheme="minorEastAsia" w:eastAsiaTheme="minorEastAsia"/>
          <w:color w:val="auto"/>
          <w:szCs w:val="21"/>
          <w:highlight w:val="none"/>
        </w:rPr>
        <w:t xml:space="preserve">文件规定标准的，甲方有权拒收该货物，乙方愿意更换货物但逾期交货的，按乙方逾期交货处理。乙方拒绝更换货物的，甲方可单方面解除合同。</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乙方不得逾期交付货物，否则，乙方须对由此造成的甲方损失承担赔偿责任。</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4.乙方逾期交付货物的，乙方应按逾期交货总</w:t>
      </w:r>
      <w:r>
        <w:rPr>
          <w:rFonts w:hint="eastAsia" w:asciiTheme="minorEastAsia" w:hAnsiTheme="minorEastAsia" w:eastAsiaTheme="minorEastAsia"/>
          <w:color w:val="auto"/>
          <w:szCs w:val="21"/>
          <w:highlight w:val="none"/>
        </w:rPr>
        <w:t xml:space="preserve">额</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向甲方支付违约金，由甲方从待付货款中扣除。逾期超过约定日期</w:t>
      </w:r>
      <w:r>
        <w:rPr>
          <w:rFonts w:hint="eastAsia" w:asciiTheme="minorEastAsia" w:hAnsiTheme="minorEastAsia" w:eastAsiaTheme="minorEastAsia"/>
          <w:color w:val="auto"/>
          <w:szCs w:val="21"/>
          <w:highlight w:val="none"/>
        </w:rPr>
        <w:t xml:space="preserve">10</w:t>
      </w:r>
      <w:r>
        <w:rPr>
          <w:rFonts w:asciiTheme="minorEastAsia" w:hAnsiTheme="minorEastAsia" w:eastAsiaTheme="minorEastAsia"/>
          <w:color w:val="auto"/>
          <w:szCs w:val="21"/>
          <w:highlight w:val="none"/>
        </w:rPr>
        <w:t xml:space="preserve">个工作日不能交货的，甲方可解除本合同。乙方因逾期交货或因其</w:t>
      </w:r>
      <w:r>
        <w:rPr>
          <w:rFonts w:hint="eastAsia" w:asciiTheme="minorEastAsia" w:hAnsiTheme="minorEastAsia" w:eastAsiaTheme="minorEastAsia"/>
          <w:color w:val="auto"/>
          <w:szCs w:val="21"/>
          <w:highlight w:val="none"/>
        </w:rPr>
        <w:t xml:space="preserve">它</w:t>
      </w:r>
      <w:r>
        <w:rPr>
          <w:rFonts w:asciiTheme="minorEastAsia" w:hAnsiTheme="minorEastAsia" w:eastAsiaTheme="minorEastAsia"/>
          <w:color w:val="auto"/>
          <w:szCs w:val="21"/>
          <w:highlight w:val="none"/>
        </w:rPr>
        <w:t xml:space="preserve">违约行为导致甲方解除合同的，乙方应向甲方支付合同总</w:t>
      </w:r>
      <w:r>
        <w:rPr>
          <w:rFonts w:hint="eastAsia" w:asciiTheme="minorEastAsia" w:hAnsiTheme="minorEastAsia" w:eastAsiaTheme="minorEastAsia"/>
          <w:color w:val="auto"/>
          <w:szCs w:val="21"/>
          <w:highlight w:val="none"/>
        </w:rPr>
        <w:t xml:space="preserve">额</w:t>
      </w:r>
      <w:r>
        <w:rPr>
          <w:rFonts w:asciiTheme="minorEastAsia" w:hAnsiTheme="minorEastAsia" w:eastAsiaTheme="minorEastAsia"/>
          <w:color w:val="auto"/>
          <w:szCs w:val="21"/>
          <w:highlight w:val="none"/>
        </w:rPr>
        <w:t xml:space="preserve">5%的违约金，如造成甲方损失超过违约金的，超出部分由乙方继续承担赔偿责任。</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6.</w:t>
      </w:r>
      <w:r>
        <w:rPr>
          <w:rFonts w:hint="eastAsia" w:asciiTheme="minorEastAsia" w:hAnsiTheme="minorEastAsia" w:eastAsiaTheme="minorEastAsia"/>
          <w:color w:val="auto"/>
          <w:szCs w:val="21"/>
          <w:highlight w:val="none"/>
        </w:rPr>
        <w:t xml:space="preserve">乙方未按本合同规定提供售后服务的，应承担违约责任，按合同总价款的</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%向甲方支付违约金。</w:t>
      </w:r>
      <w:r/>
    </w:p>
    <w:p>
      <w:pPr>
        <w:pStyle w:val="891"/>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四</w:t>
      </w:r>
      <w:r>
        <w:rPr>
          <w:rFonts w:asciiTheme="minorEastAsia" w:hAnsiTheme="minorEastAsia" w:eastAsiaTheme="minorEastAsia"/>
          <w:b/>
          <w:color w:val="auto"/>
          <w:szCs w:val="21"/>
          <w:highlight w:val="none"/>
        </w:rPr>
        <w:t xml:space="preserve">、不可抗力事件处理</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因</w:t>
      </w:r>
      <w:r>
        <w:rPr>
          <w:rFonts w:asciiTheme="minorEastAsia" w:hAnsiTheme="minorEastAsia" w:eastAsiaTheme="minorEastAsia"/>
          <w:color w:val="auto"/>
          <w:szCs w:val="21"/>
          <w:highlight w:val="none"/>
        </w:rPr>
        <w:t xml:space="preserve">不可抗力不能履行合同</w:t>
      </w:r>
      <w:r>
        <w:rPr>
          <w:rFonts w:hint="eastAsia" w:asciiTheme="minorEastAsia" w:hAnsiTheme="minorEastAsia" w:eastAsiaTheme="minorEastAsia"/>
          <w:color w:val="auto"/>
          <w:szCs w:val="21"/>
          <w:highlight w:val="none"/>
        </w:rPr>
        <w:t xml:space="preserve">的</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根据不可抗力的影响，</w:t>
      </w:r>
      <w:r>
        <w:rPr>
          <w:rFonts w:asciiTheme="minorEastAsia" w:hAnsiTheme="minorEastAsia" w:eastAsiaTheme="minorEastAsia"/>
          <w:color w:val="auto"/>
          <w:szCs w:val="21"/>
          <w:highlight w:val="none"/>
        </w:rPr>
        <w:t xml:space="preserve">双方协商是否</w:t>
      </w:r>
      <w:r>
        <w:rPr>
          <w:rFonts w:hint="eastAsia" w:asciiTheme="minorEastAsia" w:hAnsiTheme="minorEastAsia" w:eastAsiaTheme="minorEastAsia"/>
          <w:color w:val="auto"/>
          <w:szCs w:val="21"/>
          <w:highlight w:val="none"/>
        </w:rPr>
        <w:t xml:space="preserve">继续履行与责任承担。但合同一方延迟履行后发生严重后果的，不能免除责任。</w:t>
      </w:r>
      <w:r/>
    </w:p>
    <w:p>
      <w:pPr>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w:t>
      </w:r>
      <w:r>
        <w:rPr>
          <w:rFonts w:hint="eastAsia" w:asciiTheme="minorEastAsia" w:hAnsiTheme="minorEastAsia" w:eastAsiaTheme="minorEastAsia"/>
          <w:color w:val="auto"/>
          <w:szCs w:val="21"/>
          <w:highlight w:val="none"/>
        </w:rPr>
        <w:t xml:space="preserve">合同一方因不可抗力不能履行合同的，</w:t>
      </w:r>
      <w:r>
        <w:rPr>
          <w:rFonts w:asciiTheme="minorEastAsia" w:hAnsiTheme="minorEastAsia" w:eastAsiaTheme="minorEastAsia"/>
          <w:color w:val="auto"/>
          <w:szCs w:val="21"/>
          <w:highlight w:val="none"/>
        </w:rPr>
        <w:t xml:space="preserve">应及时通知</w:t>
      </w:r>
      <w:r>
        <w:rPr>
          <w:rFonts w:hint="eastAsia" w:asciiTheme="minorEastAsia" w:hAnsiTheme="minorEastAsia" w:eastAsiaTheme="minorEastAsia"/>
          <w:color w:val="auto"/>
          <w:szCs w:val="21"/>
          <w:highlight w:val="none"/>
        </w:rPr>
        <w:t xml:space="preserve">对</w:t>
      </w:r>
      <w:r>
        <w:rPr>
          <w:rFonts w:asciiTheme="minorEastAsia" w:hAnsiTheme="minorEastAsia" w:eastAsiaTheme="minorEastAsia"/>
          <w:color w:val="auto"/>
          <w:szCs w:val="21"/>
          <w:highlight w:val="none"/>
        </w:rPr>
        <w:t xml:space="preserve">方</w:t>
      </w:r>
      <w:r>
        <w:rPr>
          <w:rFonts w:hint="eastAsia" w:asciiTheme="minorEastAsia" w:hAnsiTheme="minorEastAsia" w:eastAsiaTheme="minorEastAsia"/>
          <w:color w:val="auto"/>
          <w:szCs w:val="21"/>
          <w:highlight w:val="none"/>
        </w:rPr>
        <w:t xml:space="preserve">，以减轻可能给对方造成的损失</w:t>
      </w:r>
      <w:r>
        <w:rPr>
          <w:rFonts w:asciiTheme="minorEastAsia" w:hAnsiTheme="minorEastAsia" w:eastAsiaTheme="minorEastAsia"/>
          <w:color w:val="auto"/>
          <w:szCs w:val="21"/>
          <w:highlight w:val="none"/>
        </w:rPr>
        <w:t xml:space="preserve">，并应</w:t>
      </w:r>
      <w:r>
        <w:rPr>
          <w:rFonts w:hint="eastAsia" w:asciiTheme="minorEastAsia" w:hAnsiTheme="minorEastAsia" w:eastAsiaTheme="minorEastAsia"/>
          <w:color w:val="auto"/>
          <w:szCs w:val="21"/>
          <w:highlight w:val="none"/>
        </w:rPr>
        <w:t xml:space="preserve">在合理期限内</w:t>
      </w:r>
      <w:r>
        <w:rPr>
          <w:rFonts w:asciiTheme="minorEastAsia" w:hAnsiTheme="minorEastAsia" w:eastAsiaTheme="minorEastAsia"/>
          <w:color w:val="auto"/>
          <w:szCs w:val="21"/>
          <w:highlight w:val="none"/>
        </w:rPr>
        <w:t xml:space="preserve">提供证明</w:t>
      </w:r>
      <w:r>
        <w:rPr>
          <w:rFonts w:hint="eastAsia" w:asciiTheme="minorEastAsia" w:hAnsiTheme="minorEastAsia" w:eastAsiaTheme="minorEastAsia"/>
          <w:color w:val="auto"/>
          <w:szCs w:val="21"/>
          <w:highlight w:val="none"/>
        </w:rPr>
        <w:t xml:space="preserve">，按事件对本合同的影响程度，双方协商是否终止本合同，或部分免除本合同的义务。</w:t>
      </w:r>
      <w:r/>
    </w:p>
    <w:p>
      <w:pPr>
        <w:pStyle w:val="891"/>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五</w:t>
      </w:r>
      <w:r>
        <w:rPr>
          <w:rFonts w:asciiTheme="minorEastAsia" w:hAnsiTheme="minorEastAsia" w:eastAsiaTheme="minorEastAsia"/>
          <w:b/>
          <w:color w:val="auto"/>
          <w:szCs w:val="21"/>
          <w:highlight w:val="none"/>
        </w:rPr>
        <w:t xml:space="preserve">、</w:t>
      </w:r>
      <w:r>
        <w:rPr>
          <w:rFonts w:hint="eastAsia" w:asciiTheme="minorEastAsia" w:hAnsiTheme="minorEastAsia" w:eastAsiaTheme="minorEastAsia"/>
          <w:b/>
          <w:color w:val="auto"/>
          <w:szCs w:val="21"/>
          <w:highlight w:val="none"/>
        </w:rPr>
        <w:t xml:space="preserve">争议解决</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双方在</w:t>
      </w:r>
      <w:r>
        <w:rPr>
          <w:rFonts w:hint="eastAsia" w:asciiTheme="minorEastAsia" w:hAnsiTheme="minorEastAsia" w:eastAsiaTheme="minorEastAsia"/>
          <w:color w:val="auto"/>
          <w:szCs w:val="21"/>
          <w:highlight w:val="none"/>
        </w:rPr>
        <w:t xml:space="preserve">履行</w:t>
      </w:r>
      <w:r>
        <w:rPr>
          <w:rFonts w:asciiTheme="minorEastAsia" w:hAnsiTheme="minorEastAsia" w:eastAsiaTheme="minorEastAsia"/>
          <w:color w:val="auto"/>
          <w:szCs w:val="21"/>
          <w:highlight w:val="none"/>
        </w:rPr>
        <w:t xml:space="preserve">合同中发生的一切争议，应通过协商解决。如协商不成，可向合同签订地</w:t>
      </w:r>
      <w:r>
        <w:rPr>
          <w:rFonts w:hint="eastAsia" w:asciiTheme="minorEastAsia" w:hAnsiTheme="minorEastAsia" w:eastAsiaTheme="minorEastAsia"/>
          <w:color w:val="auto"/>
          <w:szCs w:val="21"/>
          <w:highlight w:val="none"/>
        </w:rPr>
        <w:t xml:space="preserve">有管辖权的</w:t>
      </w:r>
      <w:r>
        <w:rPr>
          <w:rFonts w:asciiTheme="minorEastAsia" w:hAnsiTheme="minorEastAsia" w:eastAsiaTheme="minorEastAsia"/>
          <w:color w:val="auto"/>
          <w:szCs w:val="21"/>
          <w:highlight w:val="none"/>
        </w:rPr>
        <w:t xml:space="preserve">法院</w:t>
      </w:r>
      <w:r>
        <w:rPr>
          <w:rFonts w:hint="eastAsia" w:asciiTheme="minorEastAsia" w:hAnsiTheme="minorEastAsia" w:eastAsiaTheme="minorEastAsia"/>
          <w:color w:val="auto"/>
          <w:szCs w:val="21"/>
          <w:highlight w:val="none"/>
        </w:rPr>
        <w:t xml:space="preserve">提起诉讼</w:t>
      </w:r>
      <w:r>
        <w:rPr>
          <w:rFonts w:asciiTheme="minorEastAsia" w:hAnsiTheme="minorEastAsia" w:eastAsiaTheme="minorEastAsia"/>
          <w:color w:val="auto"/>
          <w:szCs w:val="21"/>
          <w:highlight w:val="none"/>
        </w:rPr>
        <w:t xml:space="preserve">，合同签订地在此约定为南京市。</w:t>
      </w:r>
      <w:r/>
    </w:p>
    <w:p>
      <w:pPr>
        <w:pStyle w:val="891"/>
        <w:ind w:firstLine="442"/>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十六、组成本合同的文件</w:t>
      </w:r>
      <w:r/>
    </w:p>
    <w:p>
      <w:pPr>
        <w:pStyle w:val="891"/>
        <w:ind w:left="440"/>
        <w:spacing w:before="120" w:after="120" w:line="360" w:lineRule="auto"/>
        <w:rPr>
          <w:rFonts w:asciiTheme="minorEastAsia" w:hAnsiTheme="minorEastAsia" w:eastAsiaTheme="minorEastAsia"/>
          <w:b/>
          <w:color w:val="auto"/>
          <w:szCs w:val="21"/>
          <w:highlight w:val="none"/>
        </w:rPr>
      </w:pPr>
      <w:r>
        <w:rPr>
          <w:rFonts w:hint="eastAsia" w:asciiTheme="minorEastAsia" w:hAnsiTheme="minorEastAsia" w:eastAsiaTheme="minorEastAsia"/>
          <w:color w:val="auto"/>
          <w:szCs w:val="21"/>
          <w:highlight w:val="none"/>
        </w:rPr>
        <w:t xml:space="preserve">下列文件为本合同不可分割部分，与本合同具有同等法律效力：（1）中标（成交）通知书；</w:t>
      </w:r>
      <w:r/>
    </w:p>
    <w:p>
      <w:pPr>
        <w:pStyle w:val="891"/>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（2）甲方的招标（采购）文件及其它补充文件；</w:t>
      </w:r>
      <w:r/>
    </w:p>
    <w:p>
      <w:pPr>
        <w:pStyle w:val="891"/>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（3）乙方的投标（响应）文件及其它补充文件；</w:t>
      </w:r>
      <w:r/>
    </w:p>
    <w:p>
      <w:pPr>
        <w:pStyle w:val="891"/>
        <w:ind w:left="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（4）乙方在采购过程中所作的其它书面承诺、声明、澄清等。</w:t>
      </w:r>
      <w:r/>
    </w:p>
    <w:p>
      <w:pPr>
        <w:pStyle w:val="891"/>
        <w:ind w:firstLine="442"/>
        <w:spacing w:before="120" w:after="120" w:line="360" w:lineRule="auto"/>
        <w:rPr>
          <w:rFonts w:asciiTheme="minorEastAsia" w:hAnsiTheme="minorEastAsia" w:eastAsiaTheme="minorEastAsia"/>
          <w:b/>
          <w:color w:val="auto"/>
          <w:szCs w:val="21"/>
          <w:highlight w:val="none"/>
        </w:rPr>
      </w:pPr>
      <w:r>
        <w:rPr>
          <w:rFonts w:asciiTheme="minorEastAsia" w:hAnsiTheme="minorEastAsia" w:eastAsiaTheme="minorEastAsia"/>
          <w:b/>
          <w:color w:val="auto"/>
          <w:szCs w:val="21"/>
          <w:highlight w:val="none"/>
        </w:rPr>
        <w:t xml:space="preserve">十</w:t>
      </w:r>
      <w:r>
        <w:rPr>
          <w:rFonts w:hint="eastAsia" w:asciiTheme="minorEastAsia" w:hAnsiTheme="minorEastAsia" w:eastAsiaTheme="minorEastAsia"/>
          <w:b/>
          <w:color w:val="auto"/>
          <w:szCs w:val="21"/>
          <w:highlight w:val="none"/>
        </w:rPr>
        <w:t xml:space="preserve">七</w:t>
      </w:r>
      <w:r>
        <w:rPr>
          <w:rFonts w:asciiTheme="minorEastAsia" w:hAnsiTheme="minorEastAsia" w:eastAsiaTheme="minorEastAsia"/>
          <w:b/>
          <w:color w:val="auto"/>
          <w:szCs w:val="21"/>
          <w:highlight w:val="none"/>
        </w:rPr>
        <w:t xml:space="preserve">、合同生效及其它</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1.合同经双方法定代表人或授权代</w:t>
      </w:r>
      <w:r>
        <w:rPr>
          <w:rFonts w:hint="eastAsia" w:asciiTheme="minorEastAsia" w:hAnsiTheme="minorEastAsia" w:eastAsiaTheme="minorEastAsia"/>
          <w:color w:val="auto"/>
          <w:szCs w:val="21"/>
          <w:highlight w:val="none"/>
        </w:rPr>
        <w:t xml:space="preserve">表</w:t>
      </w:r>
      <w:r>
        <w:rPr>
          <w:rFonts w:asciiTheme="minorEastAsia" w:hAnsiTheme="minorEastAsia" w:eastAsiaTheme="minorEastAsia"/>
          <w:color w:val="auto"/>
          <w:szCs w:val="21"/>
          <w:highlight w:val="none"/>
        </w:rPr>
        <w:t xml:space="preserve">人签字并加盖单位</w:t>
      </w:r>
      <w:r>
        <w:rPr>
          <w:rFonts w:hint="eastAsia" w:asciiTheme="minorEastAsia" w:hAnsiTheme="minorEastAsia" w:eastAsiaTheme="minorEastAsia"/>
          <w:color w:val="auto"/>
          <w:szCs w:val="21"/>
          <w:highlight w:val="none"/>
        </w:rPr>
        <w:t xml:space="preserve">公</w:t>
      </w:r>
      <w:r>
        <w:rPr>
          <w:rFonts w:asciiTheme="minorEastAsia" w:hAnsiTheme="minorEastAsia" w:eastAsiaTheme="minorEastAsia"/>
          <w:color w:val="auto"/>
          <w:szCs w:val="21"/>
          <w:highlight w:val="none"/>
        </w:rPr>
        <w:t xml:space="preserve">章</w:t>
      </w:r>
      <w:r>
        <w:rPr>
          <w:rFonts w:hint="eastAsia" w:asciiTheme="minorEastAsia" w:hAnsiTheme="minorEastAsia" w:eastAsiaTheme="minorEastAsia"/>
          <w:color w:val="auto"/>
          <w:szCs w:val="21"/>
          <w:highlight w:val="none"/>
        </w:rPr>
        <w:t xml:space="preserve">（合同专用章）</w:t>
      </w:r>
      <w:r>
        <w:rPr>
          <w:rFonts w:asciiTheme="minorEastAsia" w:hAnsiTheme="minorEastAsia" w:eastAsiaTheme="minorEastAsia"/>
          <w:color w:val="auto"/>
          <w:szCs w:val="21"/>
          <w:highlight w:val="none"/>
        </w:rPr>
        <w:t xml:space="preserve">后生效。</w:t>
      </w:r>
      <w:r/>
    </w:p>
    <w:p>
      <w:pPr>
        <w:ind w:left="2"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2.本合同未尽事宜</w:t>
      </w:r>
      <w:r>
        <w:rPr>
          <w:rFonts w:hint="eastAsia" w:asciiTheme="minorEastAsia" w:hAnsiTheme="minorEastAsia" w:eastAsiaTheme="minorEastAsia"/>
          <w:color w:val="auto"/>
          <w:szCs w:val="21"/>
          <w:highlight w:val="none"/>
        </w:rPr>
        <w:t xml:space="preserve">遵照</w:t>
      </w: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中华人民共和国民法典</w:t>
      </w:r>
      <w:r>
        <w:rPr>
          <w:rFonts w:asciiTheme="minorEastAsia" w:hAnsiTheme="minorEastAsia" w:eastAsiaTheme="minorEastAsia"/>
          <w:color w:val="auto"/>
          <w:szCs w:val="21"/>
          <w:highlight w:val="none"/>
        </w:rPr>
        <w:t xml:space="preserve">》有关条文执行。</w:t>
      </w:r>
      <w:r>
        <w:rPr>
          <w:rFonts w:hint="eastAsia" w:asciiTheme="minorEastAsia" w:hAnsiTheme="minorEastAsia" w:eastAsiaTheme="minorEastAsia"/>
          <w:color w:val="auto"/>
          <w:szCs w:val="21"/>
          <w:highlight w:val="none"/>
        </w:rPr>
        <w:t xml:space="preserve">对本合同内容的任何修改和变更由甲乙双方协商后达成书面补充协议，并经双方签字且加盖单位公章或合同专用章后生效，补充协议与本合同具有同等法律效力。</w:t>
      </w:r>
      <w:r/>
    </w:p>
    <w:p>
      <w:pPr>
        <w:pStyle w:val="891"/>
        <w:ind w:firstLine="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3.本合同正本一式</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份，具有同等法律效力</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甲</w:t>
      </w:r>
      <w:r>
        <w:rPr>
          <w:rFonts w:hint="eastAsia" w:asciiTheme="minorEastAsia" w:hAnsiTheme="minorEastAsia" w:eastAsiaTheme="minorEastAsia"/>
          <w:color w:val="auto"/>
          <w:szCs w:val="21"/>
          <w:highlight w:val="none"/>
        </w:rPr>
        <w:t xml:space="preserve">方</w:t>
      </w:r>
      <w:r>
        <w:rPr>
          <w:rFonts w:asciiTheme="minorEastAsia" w:hAnsiTheme="minorEastAsia" w:eastAsiaTheme="minorEastAsia"/>
          <w:color w:val="auto"/>
          <w:szCs w:val="21"/>
          <w:highlight w:val="none"/>
        </w:rPr>
        <w:t xml:space="preserve">执</w:t>
      </w:r>
      <w:r>
        <w:rPr>
          <w:rFonts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rPr>
        <w:t xml:space="preserve">份</w:t>
      </w:r>
      <w:r>
        <w:rPr>
          <w:rFonts w:hint="eastAsia" w:asciiTheme="minorEastAsia" w:hAnsiTheme="minorEastAsia" w:eastAsiaTheme="minorEastAsia"/>
          <w:color w:val="auto"/>
          <w:szCs w:val="21"/>
          <w:highlight w:val="none"/>
        </w:rPr>
        <w:t xml:space="preserve">，乙方执</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份</w:t>
      </w:r>
      <w:r>
        <w:rPr>
          <w:rFonts w:asciiTheme="minorEastAsia" w:hAnsiTheme="minorEastAsia" w:eastAsiaTheme="minorEastAsia"/>
          <w:color w:val="auto"/>
          <w:szCs w:val="21"/>
          <w:highlight w:val="none"/>
        </w:rPr>
        <w:t xml:space="preserve">。</w:t>
      </w:r>
      <w:r/>
    </w:p>
    <w:p>
      <w:pPr>
        <w:pStyle w:val="891"/>
        <w:ind w:firstLine="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4.其它约定：</w:t>
      </w:r>
      <w:r/>
    </w:p>
    <w:p>
      <w:pPr>
        <w:pStyle w:val="891"/>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r>
      <w:r/>
    </w:p>
    <w:p>
      <w:pPr>
        <w:pStyle w:val="891"/>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甲方（盖章）：</w:t>
      </w:r>
      <w:r>
        <w:rPr>
          <w:rFonts w:hint="eastAsia" w:asciiTheme="minorEastAsia" w:hAnsiTheme="minorEastAsia" w:eastAsiaTheme="minorEastAsia"/>
          <w:color w:val="auto"/>
          <w:szCs w:val="21"/>
          <w:highlight w:val="none"/>
          <w:lang w:val="en-US"/>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乙方（盖章）：</w:t>
      </w:r>
      <w:r/>
    </w:p>
    <w:p>
      <w:pPr>
        <w:pStyle w:val="891"/>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地址：</w:t>
      </w:r>
      <w:r>
        <w:rPr>
          <w:rFonts w:hint="eastAsia" w:asciiTheme="minorEastAsia" w:hAnsiTheme="minorEastAsia" w:eastAsiaTheme="minorEastAsia"/>
          <w:color w:val="auto"/>
          <w:szCs w:val="21"/>
          <w:highlight w:val="none"/>
          <w:lang w:val="en-US"/>
        </w:rPr>
        <w:t xml:space="preserve">                           </w:t>
      </w:r>
      <w:r>
        <w:rPr>
          <w:rFonts w:hint="eastAsia" w:asciiTheme="minorEastAsia" w:hAnsiTheme="minorEastAsia" w:eastAsiaTheme="minorEastAsia"/>
          <w:color w:val="auto"/>
          <w:szCs w:val="21"/>
          <w:highlight w:val="none"/>
        </w:rPr>
        <w:t xml:space="preserve">   地址：</w:t>
      </w:r>
      <w:r/>
    </w:p>
    <w:p>
      <w:pPr>
        <w:pStyle w:val="891"/>
        <w:ind w:left="420" w:hanging="440"/>
        <w:spacing w:before="120" w:after="120" w:line="360" w:lineRule="auto"/>
        <w:rPr>
          <w:rFonts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法定</w:t>
      </w:r>
      <w:r>
        <w:rPr>
          <w:rFonts w:hint="eastAsia" w:asciiTheme="minorEastAsia" w:hAnsiTheme="minorEastAsia" w:eastAsiaTheme="minorEastAsia"/>
          <w:color w:val="auto"/>
          <w:szCs w:val="21"/>
          <w:highlight w:val="none"/>
        </w:rPr>
        <w:t xml:space="preserve">（授权）</w:t>
      </w:r>
      <w:r>
        <w:rPr>
          <w:rFonts w:asciiTheme="minorEastAsia" w:hAnsiTheme="minorEastAsia" w:eastAsiaTheme="minorEastAsia"/>
          <w:color w:val="auto"/>
          <w:szCs w:val="21"/>
          <w:highlight w:val="none"/>
        </w:rPr>
        <w:t xml:space="preserve">代表人</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法定（授权）代表人 ：    </w:t>
      </w:r>
      <w:r>
        <w:rPr>
          <w:rFonts w:asciiTheme="minorEastAsia" w:hAnsiTheme="minorEastAsia" w:eastAsiaTheme="minorEastAsia"/>
          <w:color w:val="auto"/>
          <w:szCs w:val="21"/>
          <w:highlight w:val="none"/>
        </w:rPr>
        <w:t xml:space="preserve"> </w:t>
      </w:r>
      <w:r/>
    </w:p>
    <w:p>
      <w:pPr>
        <w:pStyle w:val="891"/>
        <w:ind w:left="420" w:hanging="44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开户银行：</w:t>
      </w:r>
      <w:r/>
    </w:p>
    <w:p>
      <w:pPr>
        <w:pStyle w:val="891"/>
        <w:ind w:left="440" w:firstLine="3520"/>
        <w:spacing w:before="120" w:after="120" w:line="360" w:lineRule="auto"/>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账    号：</w:t>
      </w:r>
      <w:r>
        <w:rPr>
          <w:rFonts w:asciiTheme="minorEastAsia" w:hAnsiTheme="minorEastAsia" w:eastAsiaTheme="minorEastAsia"/>
          <w:color w:val="auto"/>
          <w:szCs w:val="21"/>
          <w:highlight w:val="none"/>
        </w:rPr>
        <w:t xml:space="preserve">                        </w:t>
      </w:r>
      <w:r/>
    </w:p>
    <w:p>
      <w:pPr>
        <w:pStyle w:val="891"/>
        <w:spacing w:line="360" w:lineRule="auto"/>
        <w:rPr>
          <w:rFonts w:ascii="Times New Roman" w:hAnsi="Times New Roman"/>
          <w:color w:val="auto"/>
          <w:szCs w:val="21"/>
          <w:highlight w:val="none"/>
        </w:rPr>
        <w:sectPr>
          <w:footerReference w:type="default" r:id="rId11"/>
          <w:footnotePr/>
          <w:endnotePr/>
          <w:type w:val="nextPage"/>
          <w:pgSz w:w="11906" w:h="16838" w:orient="portrait"/>
          <w:pgMar w:top="1440" w:right="1080" w:bottom="1440" w:left="1080" w:header="850" w:footer="850" w:gutter="0"/>
          <w:cols w:num="1" w:sep="0" w:space="720" w:equalWidth="1"/>
          <w:docGrid w:linePitch="360"/>
        </w:sectPr>
      </w:pPr>
      <w:r>
        <w:rPr>
          <w:rFonts w:hint="eastAsia" w:asciiTheme="minorEastAsia" w:hAnsiTheme="minorEastAsia" w:eastAsiaTheme="minorEastAsia"/>
          <w:color w:val="auto"/>
          <w:szCs w:val="21"/>
          <w:highlight w:val="none"/>
        </w:rPr>
        <w:t xml:space="preserve">签约时间：  年   月   日           签约时间：  年   月   日          </w:t>
      </w:r>
      <w:r/>
    </w:p>
    <w:p>
      <w:pPr>
        <w:ind w:right="85"/>
        <w:jc w:val="center"/>
        <w:spacing w:line="360" w:lineRule="auto"/>
        <w:rPr>
          <w:rFonts w:ascii="黑体" w:eastAsia="黑体"/>
          <w:b/>
          <w:bCs/>
          <w:color w:val="auto"/>
          <w:sz w:val="36"/>
          <w:highlight w:val="none"/>
        </w:rPr>
        <w:outlineLvl w:val="0"/>
      </w:pPr>
      <w:r>
        <w:rPr>
          <w:rFonts w:hint="eastAsia" w:ascii="黑体" w:eastAsia="黑体"/>
          <w:b/>
          <w:bCs/>
          <w:color w:val="auto"/>
          <w:sz w:val="36"/>
          <w:highlight w:val="none"/>
        </w:rPr>
        <w:t xml:space="preserve">第六章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投标文件格式及附件</w:t>
      </w:r>
      <w:bookmarkEnd w:id="61"/>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ind w:right="87"/>
        <w:jc w:val="center"/>
        <w:spacing w:line="360" w:lineRule="auto"/>
        <w:rPr>
          <w:b/>
          <w:color w:val="auto"/>
          <w:sz w:val="72"/>
          <w:highlight w:val="none"/>
        </w:rPr>
      </w:pPr>
      <w:r>
        <w:rPr>
          <w:b/>
          <w:color w:val="auto"/>
          <w:sz w:val="72"/>
          <w:highlight w:val="none"/>
        </w:rPr>
        <w:t xml:space="preserve">投标文件</w:t>
      </w:r>
      <w:r/>
    </w:p>
    <w:p>
      <w:pPr>
        <w:spacing w:line="360" w:lineRule="auto"/>
        <w:rPr>
          <w:b/>
          <w:color w:val="auto"/>
          <w:sz w:val="72"/>
          <w:szCs w:val="21"/>
          <w:highlight w:val="none"/>
        </w:rPr>
      </w:pPr>
      <w:r>
        <w:rPr>
          <w:b/>
          <w:color w:val="auto"/>
          <w:sz w:val="72"/>
          <w:szCs w:val="21"/>
          <w:highlight w:val="none"/>
        </w:rPr>
      </w:r>
      <w:r/>
    </w:p>
    <w:p>
      <w:pPr>
        <w:spacing w:line="360" w:lineRule="auto"/>
        <w:rPr>
          <w:b/>
          <w:color w:val="auto"/>
          <w:sz w:val="72"/>
          <w:szCs w:val="21"/>
          <w:highlight w:val="none"/>
        </w:rPr>
      </w:pPr>
      <w:r>
        <w:rPr>
          <w:b/>
          <w:color w:val="auto"/>
          <w:sz w:val="72"/>
          <w:szCs w:val="21"/>
          <w:highlight w:val="none"/>
        </w:rPr>
      </w:r>
      <w:r/>
    </w:p>
    <w:p>
      <w:pPr>
        <w:ind w:left="1308" w:right="52"/>
        <w:spacing w:line="360" w:lineRule="auto"/>
        <w:rPr>
          <w:b/>
          <w:color w:val="auto"/>
          <w:sz w:val="36"/>
          <w:highlight w:val="none"/>
        </w:rPr>
      </w:pPr>
      <w:r>
        <w:rPr>
          <w:b/>
          <w:color w:val="auto"/>
          <w:sz w:val="36"/>
          <w:highlight w:val="none"/>
        </w:rPr>
        <w:t xml:space="preserve">项目编号： </w:t>
      </w:r>
      <w:r/>
    </w:p>
    <w:p>
      <w:pPr>
        <w:ind w:left="1308" w:right="52"/>
        <w:spacing w:line="360" w:lineRule="auto"/>
        <w:rPr>
          <w:b/>
          <w:color w:val="auto"/>
          <w:sz w:val="36"/>
          <w:highlight w:val="none"/>
        </w:rPr>
      </w:pPr>
      <w:r>
        <w:rPr>
          <w:b/>
          <w:color w:val="auto"/>
          <w:sz w:val="36"/>
          <w:highlight w:val="none"/>
        </w:rPr>
        <w:t xml:space="preserve">项目名称：</w:t>
      </w:r>
      <w:r/>
    </w:p>
    <w:p>
      <w:pPr>
        <w:ind w:left="223" w:right="52" w:firstLine="1084"/>
        <w:spacing w:line="360" w:lineRule="auto"/>
        <w:rPr>
          <w:b/>
          <w:color w:val="auto"/>
          <w:sz w:val="36"/>
          <w:highlight w:val="none"/>
        </w:rPr>
      </w:pPr>
      <w:r>
        <w:rPr>
          <w:rFonts w:hint="eastAsia"/>
          <w:b/>
          <w:color w:val="auto"/>
          <w:sz w:val="36"/>
          <w:highlight w:val="none"/>
        </w:rPr>
        <w:t xml:space="preserve">投标人</w:t>
      </w:r>
      <w:r>
        <w:rPr>
          <w:b/>
          <w:color w:val="auto"/>
          <w:sz w:val="36"/>
          <w:highlight w:val="none"/>
        </w:rPr>
        <w:t xml:space="preserve">名称： </w:t>
      </w:r>
      <w:r/>
    </w:p>
    <w:p>
      <w:pPr>
        <w:ind w:left="223" w:right="52" w:firstLine="1084"/>
        <w:spacing w:line="360" w:lineRule="auto"/>
        <w:rPr>
          <w:b/>
          <w:color w:val="auto"/>
          <w:sz w:val="36"/>
          <w:highlight w:val="none"/>
        </w:rPr>
      </w:pPr>
      <w:r>
        <w:rPr>
          <w:b/>
          <w:color w:val="auto"/>
          <w:sz w:val="36"/>
          <w:highlight w:val="none"/>
        </w:rPr>
        <w:t xml:space="preserve">日期：</w:t>
      </w:r>
      <w:r/>
    </w:p>
    <w:p>
      <w:pPr>
        <w:spacing w:line="360" w:lineRule="auto"/>
        <w:rPr>
          <w:color w:val="auto"/>
          <w:sz w:val="36"/>
          <w:highlight w:val="none"/>
        </w:rPr>
        <w:sectPr>
          <w:headerReference w:type="default" r:id="rId9"/>
          <w:footerReference w:type="default" r:id="rId12"/>
          <w:footnotePr/>
          <w:endnotePr/>
          <w:type w:val="nextPage"/>
          <w:pgSz w:w="11910" w:h="16840" w:orient="portrait"/>
          <w:pgMar w:top="1134" w:right="1134" w:bottom="1134" w:left="1134" w:header="567" w:footer="567" w:gutter="0"/>
          <w:cols w:num="1" w:sep="0" w:space="720" w:equalWidth="1"/>
          <w:docGrid w:linePitch="360"/>
        </w:sectPr>
      </w:pPr>
      <w:r>
        <w:rPr>
          <w:color w:val="auto"/>
          <w:sz w:val="36"/>
          <w:highlight w:val="none"/>
        </w:rPr>
      </w:r>
      <w:r/>
    </w:p>
    <w:p>
      <w:pPr>
        <w:spacing w:line="360" w:lineRule="auto"/>
        <w:rPr>
          <w:b/>
          <w:color w:val="auto"/>
          <w:sz w:val="17"/>
          <w:szCs w:val="21"/>
          <w:highlight w:val="none"/>
        </w:rPr>
      </w:pPr>
      <w:r>
        <w:rPr>
          <w:b/>
          <w:color w:val="auto"/>
          <w:sz w:val="17"/>
          <w:szCs w:val="21"/>
          <w:highlight w:val="none"/>
        </w:rPr>
      </w:r>
      <w:r/>
    </w:p>
    <w:p>
      <w:pPr>
        <w:jc w:val="center"/>
        <w:rPr>
          <w:b/>
          <w:bCs/>
          <w:color w:val="auto"/>
          <w:sz w:val="28"/>
          <w:szCs w:val="28"/>
          <w:highlight w:val="none"/>
        </w:rPr>
        <w:outlineLvl w:val="1"/>
      </w:pPr>
      <w:r/>
      <w:bookmarkStart w:id="62" w:name="_Toc489655320"/>
      <w:r>
        <w:rPr>
          <w:rFonts w:hint="eastAsia"/>
          <w:b/>
          <w:bCs/>
          <w:color w:val="auto"/>
          <w:sz w:val="28"/>
          <w:szCs w:val="28"/>
          <w:highlight w:val="none"/>
        </w:rPr>
        <w:t xml:space="preserve">投标文件主要目录</w:t>
      </w:r>
      <w:bookmarkEnd w:id="62"/>
      <w:r>
        <w:rPr>
          <w:rFonts w:hint="eastAsia"/>
          <w:b/>
          <w:bCs/>
          <w:color w:val="auto"/>
          <w:sz w:val="28"/>
          <w:szCs w:val="28"/>
          <w:highlight w:val="none"/>
        </w:rPr>
        <w:t xml:space="preserve">及相关证明材料格式、附件</w:t>
      </w:r>
      <w:r/>
    </w:p>
    <w:p>
      <w:pPr>
        <w:rPr>
          <w:color w:val="auto"/>
          <w:sz w:val="28"/>
          <w:szCs w:val="28"/>
          <w:highlight w:val="none"/>
        </w:rPr>
      </w:pPr>
      <w:r>
        <w:rPr>
          <w:color w:val="auto"/>
          <w:sz w:val="28"/>
          <w:szCs w:val="28"/>
          <w:highlight w:val="none"/>
        </w:rPr>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一、</w:t>
      </w:r>
      <w:r>
        <w:rPr>
          <w:rFonts w:hint="eastAsia"/>
          <w:color w:val="auto"/>
          <w:sz w:val="28"/>
          <w:szCs w:val="28"/>
          <w:highlight w:val="none"/>
        </w:rPr>
        <w:t xml:space="preserve">投标申请及声明</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二、</w:t>
      </w:r>
      <w:r>
        <w:rPr>
          <w:rFonts w:hint="eastAsia"/>
          <w:color w:val="auto"/>
          <w:sz w:val="28"/>
          <w:szCs w:val="28"/>
          <w:highlight w:val="none"/>
        </w:rPr>
        <w:t xml:space="preserve">法定代表人授权书</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三、</w:t>
      </w:r>
      <w:r>
        <w:rPr>
          <w:rFonts w:hint="eastAsia"/>
          <w:color w:val="auto"/>
          <w:sz w:val="28"/>
          <w:szCs w:val="28"/>
          <w:highlight w:val="none"/>
        </w:rPr>
        <w:t xml:space="preserve">开标一览表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四、</w:t>
      </w:r>
      <w:r>
        <w:rPr>
          <w:rFonts w:hint="eastAsia"/>
          <w:color w:val="auto"/>
          <w:sz w:val="28"/>
          <w:szCs w:val="28"/>
          <w:highlight w:val="none"/>
        </w:rPr>
        <w:t xml:space="preserve">分项报价表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五、</w:t>
      </w:r>
      <w:r>
        <w:rPr>
          <w:rFonts w:hint="eastAsia"/>
          <w:color w:val="auto"/>
          <w:sz w:val="28"/>
          <w:szCs w:val="28"/>
          <w:highlight w:val="none"/>
        </w:rPr>
        <w:t xml:space="preserve">技术条款偏离表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六、</w:t>
      </w:r>
      <w:r>
        <w:rPr>
          <w:rFonts w:hint="eastAsia"/>
          <w:color w:val="auto"/>
          <w:sz w:val="28"/>
          <w:szCs w:val="28"/>
          <w:highlight w:val="none"/>
        </w:rPr>
        <w:t xml:space="preserve">商务条款偏离表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七、</w:t>
      </w:r>
      <w:r>
        <w:rPr>
          <w:rFonts w:hint="eastAsia"/>
          <w:color w:val="auto"/>
          <w:sz w:val="28"/>
          <w:szCs w:val="28"/>
          <w:highlight w:val="none"/>
        </w:rPr>
        <w:t xml:space="preserve">技术说明或服务方案</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八、</w:t>
      </w:r>
      <w:r>
        <w:rPr>
          <w:rFonts w:hint="eastAsia"/>
          <w:color w:val="auto"/>
          <w:sz w:val="28"/>
          <w:szCs w:val="28"/>
          <w:highlight w:val="none"/>
        </w:rPr>
        <w:t xml:space="preserve">拟参与本项目服务人员一览表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九、</w:t>
      </w:r>
      <w:r>
        <w:rPr>
          <w:rFonts w:hint="eastAsia"/>
          <w:color w:val="auto"/>
          <w:sz w:val="28"/>
          <w:szCs w:val="28"/>
          <w:highlight w:val="none"/>
        </w:rPr>
        <w:t xml:space="preserve">投标人类似业绩情况</w:t>
      </w:r>
      <w:r/>
    </w:p>
    <w:p>
      <w:pPr>
        <w:ind w:left="425"/>
        <w:spacing w:line="360" w:lineRule="auto"/>
        <w:tabs>
          <w:tab w:val="left" w:pos="1145" w:leader="none"/>
        </w:tabs>
        <w:rPr>
          <w:color w:val="auto"/>
          <w:sz w:val="28"/>
          <w:szCs w:val="28"/>
          <w:highlight w:val="none"/>
        </w:rPr>
      </w:pPr>
      <w:r>
        <w:rPr>
          <w:rFonts w:hint="eastAsia"/>
          <w:color w:val="auto"/>
          <w:sz w:val="28"/>
          <w:szCs w:val="28"/>
          <w:highlight w:val="none"/>
        </w:rPr>
        <w:t xml:space="preserve">十、投标需要的其他证明文件及材料（若有）</w:t>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rFonts w:hint="eastAsia"/>
          <w:color w:val="auto"/>
          <w:sz w:val="28"/>
          <w:szCs w:val="28"/>
          <w:highlight w:val="none"/>
        </w:rPr>
        <w:t xml:space="preserve">附件一、中小企业声明函格式</w:t>
      </w:r>
      <w:r/>
    </w:p>
    <w:p>
      <w:pPr>
        <w:spacing w:line="360" w:lineRule="auto"/>
        <w:rPr>
          <w:color w:val="auto"/>
          <w:sz w:val="28"/>
          <w:szCs w:val="28"/>
          <w:highlight w:val="none"/>
        </w:rPr>
      </w:pPr>
      <w:r>
        <w:rPr>
          <w:rFonts w:hint="eastAsia"/>
          <w:color w:val="auto"/>
          <w:sz w:val="28"/>
          <w:szCs w:val="28"/>
          <w:highlight w:val="none"/>
        </w:rPr>
        <w:t xml:space="preserve">附件二、无重大违法记录声明格式</w:t>
      </w:r>
      <w:r/>
    </w:p>
    <w:p>
      <w:pPr>
        <w:spacing w:line="360" w:lineRule="auto"/>
        <w:rPr>
          <w:color w:val="auto"/>
          <w:sz w:val="28"/>
          <w:szCs w:val="28"/>
          <w:highlight w:val="none"/>
        </w:rPr>
      </w:pPr>
      <w:r>
        <w:rPr>
          <w:rFonts w:hint="eastAsia"/>
          <w:color w:val="auto"/>
          <w:sz w:val="28"/>
          <w:szCs w:val="28"/>
          <w:highlight w:val="none"/>
        </w:rPr>
        <w:t xml:space="preserve">附件三、具备履行合同所必需的设备和专业技术能力的声明格式及证明材料</w:t>
      </w:r>
      <w:r/>
    </w:p>
    <w:p>
      <w:pPr>
        <w:pStyle w:val="1120"/>
        <w:spacing w:after="0" w:line="360" w:lineRule="auto"/>
        <w:rPr>
          <w:color w:val="auto"/>
          <w:sz w:val="28"/>
          <w:szCs w:val="28"/>
          <w:highlight w:val="none"/>
        </w:rPr>
      </w:pPr>
      <w:r>
        <w:rPr>
          <w:rFonts w:hint="eastAsia"/>
          <w:color w:val="auto"/>
          <w:sz w:val="28"/>
          <w:szCs w:val="28"/>
          <w:highlight w:val="none"/>
        </w:rPr>
        <w:t xml:space="preserve">附件四、残疾人福利性单位声明函格式</w:t>
      </w:r>
      <w:r/>
    </w:p>
    <w:p>
      <w:pPr>
        <w:spacing w:line="360" w:lineRule="auto"/>
        <w:rPr>
          <w:color w:val="auto"/>
          <w:sz w:val="28"/>
          <w:szCs w:val="28"/>
          <w:highlight w:val="none"/>
        </w:rPr>
      </w:pPr>
      <w:r>
        <w:rPr>
          <w:rFonts w:hint="eastAsia"/>
          <w:color w:val="auto"/>
          <w:sz w:val="28"/>
          <w:szCs w:val="28"/>
          <w:highlight w:val="none"/>
        </w:rPr>
        <w:t xml:space="preserve">附件五、属于监狱企业的证明文件</w:t>
      </w:r>
      <w:r/>
    </w:p>
    <w:p>
      <w:pPr>
        <w:spacing w:line="360" w:lineRule="auto"/>
        <w:rPr>
          <w:rFonts w:ascii="Times New Roman"/>
          <w:color w:val="auto"/>
          <w:sz w:val="20"/>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auto"/>
          <w:sz w:val="28"/>
          <w:szCs w:val="28"/>
          <w:highlight w:val="none"/>
        </w:rPr>
        <w:t xml:space="preserve">附件六、关于符合本国产品标准的声明函</w:t>
      </w:r>
      <w:r/>
    </w:p>
    <w:p>
      <w:pPr>
        <w:spacing w:line="360" w:lineRule="auto"/>
        <w:rPr>
          <w:b/>
          <w:color w:val="auto"/>
          <w:sz w:val="39"/>
          <w:highlight w:val="none"/>
        </w:rPr>
      </w:pPr>
      <w:r>
        <w:rPr>
          <w:b/>
          <w:color w:val="auto"/>
          <w:sz w:val="21"/>
          <w:highlight w:val="none"/>
        </w:rPr>
        <w:t xml:space="preserve">目录一、投标申请及声明格式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投标申请及声明</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rFonts w:ascii="黑体"/>
          <w:color w:val="auto"/>
          <w:sz w:val="8"/>
          <w:szCs w:val="21"/>
          <w:highlight w:val="none"/>
        </w:rPr>
      </w:pPr>
      <w:r>
        <w:rPr>
          <w:rFonts w:ascii="黑体"/>
          <w:color w:val="auto"/>
          <w:sz w:val="8"/>
          <w:szCs w:val="21"/>
          <w:highlight w:val="none"/>
        </w:rPr>
      </w:r>
      <w:r/>
    </w:p>
    <w:p>
      <w:pPr>
        <w:spacing w:line="360" w:lineRule="auto"/>
        <w:rPr>
          <w:color w:val="auto"/>
          <w:sz w:val="21"/>
          <w:szCs w:val="21"/>
          <w:highlight w:val="none"/>
        </w:rPr>
      </w:pPr>
      <w:r>
        <w:rPr>
          <w:color w:val="auto"/>
          <w:sz w:val="21"/>
          <w:szCs w:val="21"/>
          <w:highlight w:val="none"/>
        </w:rPr>
        <w:t xml:space="preserve">致：</w:t>
      </w:r>
      <w:r>
        <w:rPr>
          <w:rFonts w:hint="eastAsia"/>
          <w:color w:val="auto"/>
          <w:sz w:val="21"/>
          <w:szCs w:val="21"/>
          <w:highlight w:val="none"/>
        </w:rPr>
        <w:t xml:space="preserve">江苏开放大学</w:t>
      </w:r>
      <w:r/>
    </w:p>
    <w:p>
      <w:pPr>
        <w:ind w:firstLine="420"/>
        <w:spacing w:line="360" w:lineRule="auto"/>
        <w:rPr>
          <w:color w:val="auto"/>
          <w:sz w:val="21"/>
          <w:szCs w:val="21"/>
          <w:highlight w:val="none"/>
        </w:rPr>
      </w:pPr>
      <w:r>
        <w:rPr>
          <w:rFonts w:hint="eastAsia"/>
          <w:color w:val="auto"/>
          <w:sz w:val="21"/>
          <w:szCs w:val="21"/>
          <w:highlight w:val="none"/>
        </w:rPr>
        <w:t xml:space="preserve">根据贵方（项目名称）（项目编号）投标邀请，正式授权下述签字人（姓名和职务）代表投标人（投标人名称），提交投标文件。</w:t>
      </w:r>
      <w:r/>
    </w:p>
    <w:p>
      <w:pPr>
        <w:ind w:firstLine="420"/>
        <w:spacing w:line="360" w:lineRule="auto"/>
        <w:rPr>
          <w:color w:val="auto"/>
          <w:sz w:val="21"/>
          <w:szCs w:val="21"/>
          <w:highlight w:val="none"/>
        </w:rPr>
      </w:pPr>
      <w:r>
        <w:rPr>
          <w:rFonts w:hint="eastAsia"/>
          <w:color w:val="auto"/>
          <w:sz w:val="21"/>
          <w:szCs w:val="21"/>
          <w:highlight w:val="none"/>
        </w:rPr>
        <w:t xml:space="preserve">据此函，签字人兹宣布声明和承诺如下：</w:t>
      </w:r>
      <w:r/>
    </w:p>
    <w:p>
      <w:pPr>
        <w:ind w:firstLine="420"/>
        <w:spacing w:line="360" w:lineRule="auto"/>
        <w:rPr>
          <w:color w:val="auto"/>
          <w:sz w:val="21"/>
          <w:szCs w:val="21"/>
          <w:highlight w:val="none"/>
        </w:rPr>
      </w:pPr>
      <w:r>
        <w:rPr>
          <w:rFonts w:hint="eastAsia"/>
          <w:color w:val="auto"/>
          <w:sz w:val="21"/>
          <w:szCs w:val="21"/>
          <w:highlight w:val="none"/>
        </w:rPr>
        <w:t xml:space="preserve">1.我方的资格条件符合政府采购法和本次招标要求，我方同意并向贵方提供了与投标有关的所有证据和资料。</w:t>
      </w:r>
      <w:r/>
    </w:p>
    <w:p>
      <w:pPr>
        <w:ind w:firstLine="420"/>
        <w:spacing w:line="360" w:lineRule="auto"/>
        <w:rPr>
          <w:color w:val="auto"/>
          <w:sz w:val="21"/>
          <w:szCs w:val="21"/>
          <w:highlight w:val="none"/>
        </w:rPr>
      </w:pPr>
      <w:r>
        <w:rPr>
          <w:rFonts w:hint="eastAsia"/>
          <w:color w:val="auto"/>
          <w:sz w:val="21"/>
          <w:szCs w:val="21"/>
          <w:highlight w:val="none"/>
        </w:rPr>
        <w:t xml:space="preserve">2.按招标要求，我方投标的报价总价为人民币（小写）</w:t>
      </w:r>
      <w:r>
        <w:rPr>
          <w:rFonts w:hint="eastAsia"/>
          <w:color w:val="auto"/>
          <w:sz w:val="21"/>
          <w:szCs w:val="21"/>
          <w:highlight w:val="none"/>
          <w:u w:val="single"/>
        </w:rPr>
        <w:t xml:space="preserve">      </w:t>
      </w:r>
      <w:r>
        <w:rPr>
          <w:rFonts w:hint="eastAsia"/>
          <w:color w:val="auto"/>
          <w:sz w:val="21"/>
          <w:szCs w:val="21"/>
          <w:highlight w:val="none"/>
        </w:rPr>
        <w:t xml:space="preserve">元，（大写） </w:t>
      </w:r>
      <w:r>
        <w:rPr>
          <w:rFonts w:hint="eastAsia"/>
          <w:color w:val="auto"/>
          <w:sz w:val="21"/>
          <w:szCs w:val="21"/>
          <w:highlight w:val="none"/>
          <w:u w:val="single"/>
        </w:rPr>
        <w:t xml:space="preserve">     </w:t>
      </w:r>
      <w:r>
        <w:rPr>
          <w:rFonts w:hint="eastAsia"/>
          <w:color w:val="auto"/>
          <w:sz w:val="21"/>
          <w:szCs w:val="21"/>
          <w:highlight w:val="none"/>
        </w:rPr>
        <w:t xml:space="preserve">元。</w:t>
      </w:r>
      <w:r/>
    </w:p>
    <w:p>
      <w:pPr>
        <w:ind w:firstLine="420"/>
        <w:spacing w:line="360" w:lineRule="auto"/>
        <w:rPr>
          <w:color w:val="auto"/>
          <w:sz w:val="21"/>
          <w:szCs w:val="21"/>
          <w:highlight w:val="none"/>
        </w:rPr>
      </w:pPr>
      <w:r>
        <w:rPr>
          <w:rFonts w:hint="eastAsia"/>
          <w:color w:val="auto"/>
          <w:sz w:val="21"/>
          <w:szCs w:val="21"/>
          <w:highlight w:val="none"/>
        </w:rPr>
        <w:t xml:space="preserve">3.合同履行期限：本项目交付时间</w:t>
      </w:r>
      <w:r>
        <w:rPr>
          <w:rFonts w:hint="eastAsia"/>
          <w:color w:val="auto"/>
          <w:sz w:val="21"/>
          <w:szCs w:val="21"/>
          <w:highlight w:val="none"/>
          <w:lang w:val="en-US"/>
        </w:rPr>
        <w:t xml:space="preserve">自合同签订之日起</w:t>
      </w:r>
      <w:r>
        <w:rPr>
          <w:rFonts w:hint="eastAsia"/>
          <w:color w:val="auto"/>
          <w:sz w:val="21"/>
          <w:szCs w:val="21"/>
          <w:highlight w:val="none"/>
          <w:u w:val="single"/>
          <w:lang w:val="en-US"/>
        </w:rPr>
        <w:t xml:space="preserve">         </w:t>
      </w:r>
      <w:r>
        <w:rPr>
          <w:rFonts w:hint="eastAsia"/>
          <w:color w:val="auto"/>
          <w:sz w:val="21"/>
          <w:szCs w:val="21"/>
          <w:highlight w:val="none"/>
          <w:lang w:val="en-US"/>
        </w:rPr>
        <w:t xml:space="preserve">个工作日内完成交付、安装调试并验收合格</w:t>
      </w: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4.我方参加本次采购活动前三年内，在经营活动中没有重大违法记录。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auto"/>
          <w:sz w:val="21"/>
          <w:szCs w:val="21"/>
          <w:highlight w:val="none"/>
        </w:rPr>
      </w:pPr>
      <w:r>
        <w:rPr>
          <w:rFonts w:hint="eastAsia"/>
          <w:color w:val="auto"/>
          <w:sz w:val="21"/>
          <w:szCs w:val="21"/>
          <w:highlight w:val="none"/>
        </w:rPr>
        <w:t xml:space="preserve">6.我方在全国范围内未受过财政部门禁止参加政府采购活动的处罚，或禁止参加政府采购活动的处罚期限已满。</w:t>
      </w:r>
      <w:r/>
    </w:p>
    <w:p>
      <w:pPr>
        <w:ind w:firstLine="420"/>
        <w:spacing w:line="360" w:lineRule="auto"/>
        <w:rPr>
          <w:color w:val="auto"/>
          <w:sz w:val="21"/>
          <w:szCs w:val="21"/>
          <w:highlight w:val="none"/>
        </w:rPr>
      </w:pPr>
      <w:r>
        <w:rPr>
          <w:rFonts w:hint="eastAsia"/>
          <w:color w:val="auto"/>
          <w:sz w:val="21"/>
          <w:szCs w:val="21"/>
          <w:highlight w:val="none"/>
        </w:rPr>
        <w:t xml:space="preserve">7.我方没有为本采购项目提供整体设计、规范编制，以及项目管理、监理、检测等服务。</w:t>
      </w:r>
      <w:r/>
    </w:p>
    <w:p>
      <w:pPr>
        <w:ind w:firstLine="420"/>
        <w:spacing w:line="360" w:lineRule="auto"/>
        <w:rPr>
          <w:color w:val="auto"/>
          <w:sz w:val="21"/>
          <w:szCs w:val="21"/>
          <w:highlight w:val="none"/>
        </w:rPr>
      </w:pPr>
      <w:r>
        <w:rPr>
          <w:rFonts w:hint="eastAsia"/>
          <w:color w:val="auto"/>
          <w:sz w:val="21"/>
          <w:szCs w:val="21"/>
          <w:highlight w:val="none"/>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auto"/>
          <w:sz w:val="21"/>
          <w:szCs w:val="21"/>
          <w:highlight w:val="none"/>
        </w:rPr>
      </w:pPr>
      <w:r>
        <w:rPr>
          <w:rFonts w:hint="eastAsia"/>
          <w:color w:val="auto"/>
          <w:sz w:val="21"/>
          <w:szCs w:val="21"/>
          <w:highlight w:val="none"/>
        </w:rPr>
        <w:t xml:space="preserve">9.我方与参与本次采购活动的其他供应商的法定代表人或委托代理人无夫妻、直系血亲关系。</w:t>
      </w:r>
      <w:r/>
    </w:p>
    <w:p>
      <w:pPr>
        <w:ind w:firstLine="420"/>
        <w:spacing w:line="360" w:lineRule="auto"/>
        <w:rPr>
          <w:color w:val="auto"/>
          <w:sz w:val="21"/>
          <w:szCs w:val="21"/>
          <w:highlight w:val="none"/>
        </w:rPr>
      </w:pPr>
      <w:r>
        <w:rPr>
          <w:rFonts w:hint="eastAsia"/>
          <w:color w:val="auto"/>
          <w:sz w:val="21"/>
          <w:szCs w:val="21"/>
          <w:highlight w:val="none"/>
        </w:rPr>
        <w:t xml:space="preserve">10.我方与参与本次采购活动的其他供应商的负责人不是同一人，也不存在直接控股、管理关系。</w:t>
      </w:r>
      <w:r/>
    </w:p>
    <w:p>
      <w:pPr>
        <w:ind w:firstLine="420"/>
        <w:spacing w:line="360" w:lineRule="auto"/>
        <w:rPr>
          <w:color w:val="auto"/>
          <w:sz w:val="21"/>
          <w:szCs w:val="21"/>
          <w:highlight w:val="none"/>
        </w:rPr>
      </w:pPr>
      <w:r>
        <w:rPr>
          <w:rFonts w:hint="eastAsia"/>
          <w:color w:val="auto"/>
          <w:sz w:val="21"/>
          <w:szCs w:val="21"/>
          <w:highlight w:val="none"/>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szCs w:val="21"/>
          <w:highlight w:val="none"/>
        </w:rPr>
      </w:pPr>
      <w:r>
        <w:rPr>
          <w:rFonts w:hint="eastAsia"/>
          <w:color w:val="auto"/>
          <w:sz w:val="21"/>
          <w:szCs w:val="21"/>
          <w:highlight w:val="none"/>
        </w:rPr>
        <w:t xml:space="preserve">12.我方同意从规定的开标日期起遵循本投标文件，并在规定的投标有效期期满之前均具有约束力。</w:t>
      </w:r>
      <w:r/>
    </w:p>
    <w:p>
      <w:pPr>
        <w:ind w:firstLine="420"/>
        <w:spacing w:line="360" w:lineRule="auto"/>
        <w:rPr>
          <w:color w:val="auto"/>
          <w:sz w:val="21"/>
          <w:szCs w:val="21"/>
          <w:highlight w:val="none"/>
        </w:rPr>
      </w:pPr>
      <w:r>
        <w:rPr>
          <w:rFonts w:hint="eastAsia"/>
          <w:color w:val="auto"/>
          <w:sz w:val="21"/>
          <w:szCs w:val="21"/>
          <w:highlight w:val="none"/>
        </w:rPr>
        <w:t xml:space="preserve">13.一旦我方中标，将根据招标文件的规定严格履行合同，并保证按承诺的时间完成服务的启动/集成、调试等服务，交付采购人验收、使用。</w:t>
      </w:r>
      <w:r/>
    </w:p>
    <w:p>
      <w:pPr>
        <w:ind w:firstLine="420"/>
        <w:spacing w:line="360" w:lineRule="auto"/>
        <w:rPr>
          <w:color w:val="auto"/>
          <w:sz w:val="21"/>
          <w:szCs w:val="21"/>
          <w:highlight w:val="none"/>
        </w:rPr>
      </w:pPr>
      <w:r>
        <w:rPr>
          <w:rFonts w:hint="eastAsia"/>
          <w:color w:val="auto"/>
          <w:sz w:val="21"/>
          <w:szCs w:val="21"/>
          <w:highlight w:val="none"/>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15</w:t>
      </w:r>
      <w:r>
        <w:rPr>
          <w:color w:val="auto"/>
          <w:sz w:val="21"/>
          <w:szCs w:val="21"/>
          <w:highlight w:val="none"/>
        </w:rPr>
        <w:t xml:space="preserve">、与本投标有关的正式联系方式为： </w:t>
      </w:r>
      <w:r/>
    </w:p>
    <w:p>
      <w:pPr>
        <w:ind w:firstLine="420"/>
        <w:spacing w:line="360" w:lineRule="auto"/>
        <w:rPr>
          <w:color w:val="auto"/>
          <w:sz w:val="21"/>
          <w:szCs w:val="21"/>
          <w:highlight w:val="none"/>
        </w:rPr>
      </w:pPr>
      <w:r>
        <w:rPr>
          <w:color w:val="auto"/>
          <w:sz w:val="21"/>
          <w:szCs w:val="21"/>
          <w:highlight w:val="none"/>
        </w:rPr>
        <w:t xml:space="preserve">地址：</w:t>
      </w:r>
      <w:r/>
    </w:p>
    <w:p>
      <w:pPr>
        <w:ind w:firstLine="420"/>
        <w:spacing w:line="360" w:lineRule="auto"/>
        <w:rPr>
          <w:color w:val="auto"/>
          <w:sz w:val="21"/>
          <w:szCs w:val="21"/>
          <w:highlight w:val="none"/>
        </w:rPr>
      </w:pPr>
      <w:r>
        <w:rPr>
          <w:color w:val="auto"/>
          <w:sz w:val="21"/>
          <w:szCs w:val="21"/>
          <w:highlight w:val="none"/>
        </w:rPr>
        <w:t xml:space="preserve">电话： </w:t>
      </w:r>
      <w:r/>
    </w:p>
    <w:p>
      <w:pPr>
        <w:ind w:firstLine="420"/>
        <w:spacing w:line="360" w:lineRule="auto"/>
        <w:rPr>
          <w:color w:val="auto"/>
          <w:sz w:val="21"/>
          <w:szCs w:val="21"/>
          <w:highlight w:val="none"/>
        </w:rPr>
      </w:pPr>
      <w:r>
        <w:rPr>
          <w:color w:val="auto"/>
          <w:sz w:val="21"/>
          <w:szCs w:val="21"/>
          <w:highlight w:val="none"/>
        </w:rPr>
        <w:t xml:space="preserve">传真：</w:t>
      </w:r>
      <w:r/>
    </w:p>
    <w:p>
      <w:pPr>
        <w:ind w:firstLine="420"/>
        <w:spacing w:line="360" w:lineRule="auto"/>
        <w:rPr>
          <w:color w:val="auto"/>
          <w:sz w:val="21"/>
          <w:szCs w:val="21"/>
          <w:highlight w:val="none"/>
        </w:rPr>
      </w:pPr>
      <w:r>
        <w:rPr>
          <w:color w:val="auto"/>
          <w:sz w:val="21"/>
          <w:szCs w:val="21"/>
          <w:highlight w:val="none"/>
        </w:rPr>
        <w:t xml:space="preserve">开户银行： </w:t>
      </w:r>
      <w:r/>
    </w:p>
    <w:p>
      <w:pPr>
        <w:ind w:firstLine="420"/>
        <w:spacing w:line="360" w:lineRule="auto"/>
        <w:rPr>
          <w:color w:val="auto"/>
          <w:sz w:val="21"/>
          <w:szCs w:val="21"/>
          <w:highlight w:val="none"/>
        </w:rPr>
      </w:pPr>
      <w:r>
        <w:rPr>
          <w:color w:val="auto"/>
          <w:sz w:val="21"/>
          <w:szCs w:val="21"/>
          <w:highlight w:val="none"/>
        </w:rPr>
        <w:t xml:space="preserve">银行账号：</w:t>
      </w:r>
      <w:r/>
    </w:p>
    <w:p>
      <w:pPr>
        <w:ind w:firstLine="420"/>
        <w:spacing w:line="360" w:lineRule="auto"/>
        <w:tabs>
          <w:tab w:val="left" w:pos="9680" w:leader="none"/>
        </w:tabs>
        <w:rPr>
          <w:color w:val="auto"/>
          <w:sz w:val="21"/>
          <w:szCs w:val="21"/>
          <w:highlight w:val="none"/>
        </w:rPr>
      </w:pPr>
      <w:r>
        <w:rPr>
          <w:color w:val="auto"/>
          <w:sz w:val="21"/>
          <w:szCs w:val="21"/>
          <w:highlight w:val="none"/>
        </w:rPr>
        <w:t xml:space="preserve">供应商授权代表姓名（签</w:t>
      </w:r>
      <w:r>
        <w:rPr>
          <w:rFonts w:hint="eastAsia"/>
          <w:color w:val="auto"/>
          <w:sz w:val="21"/>
          <w:szCs w:val="21"/>
          <w:highlight w:val="none"/>
        </w:rPr>
        <w:t xml:space="preserve">字</w:t>
      </w:r>
      <w:r>
        <w:rPr>
          <w:color w:val="auto"/>
          <w:sz w:val="21"/>
          <w:szCs w:val="21"/>
          <w:highlight w:val="none"/>
        </w:rPr>
        <w:t xml:space="preserve">）：</w:t>
      </w:r>
      <w:r/>
    </w:p>
    <w:p>
      <w:pPr>
        <w:ind w:firstLine="420"/>
        <w:spacing w:line="360" w:lineRule="auto"/>
        <w:tabs>
          <w:tab w:val="left" w:pos="3520" w:leader="none"/>
        </w:tabs>
        <w:rPr>
          <w:color w:val="auto"/>
          <w:sz w:val="21"/>
          <w:szCs w:val="21"/>
          <w:highlight w:val="none"/>
        </w:rPr>
      </w:pPr>
      <w:r>
        <w:rPr>
          <w:color w:val="auto"/>
          <w:sz w:val="21"/>
          <w:szCs w:val="21"/>
          <w:highlight w:val="none"/>
        </w:rPr>
        <w:t xml:space="preserve">供应商名称（盖章）：</w:t>
      </w:r>
      <w:r/>
    </w:p>
    <w:p>
      <w:pPr>
        <w:ind w:firstLine="420"/>
        <w:spacing w:line="360" w:lineRule="auto"/>
        <w:rPr>
          <w:color w:val="auto"/>
          <w:sz w:val="21"/>
          <w:szCs w:val="21"/>
          <w:highlight w:val="none"/>
        </w:rPr>
      </w:pPr>
      <w:r>
        <w:rPr>
          <w:color w:val="auto"/>
          <w:sz w:val="21"/>
          <w:szCs w:val="21"/>
          <w:highlight w:val="none"/>
        </w:rPr>
        <w:t xml:space="preserve">日期：年月日</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rPr>
          <w:b/>
          <w:color w:val="auto"/>
          <w:sz w:val="21"/>
          <w:highlight w:val="none"/>
        </w:rPr>
      </w:pPr>
      <w:r>
        <w:rPr>
          <w:b/>
          <w:color w:val="auto"/>
          <w:sz w:val="21"/>
          <w:highlight w:val="none"/>
        </w:rPr>
        <w:t xml:space="preserve">目录二、法定代表人授权书</w:t>
      </w:r>
      <w:r>
        <w:rPr>
          <w:rFonts w:hint="eastAsia"/>
          <w:b/>
          <w:color w:val="auto"/>
          <w:sz w:val="21"/>
          <w:highlight w:val="none"/>
          <w:lang w:val="en-US"/>
        </w:rPr>
        <w:t xml:space="preserve">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法定代表人授权委托书</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法定代表人签字：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授权委托人签字：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投标人：（盖章）</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20"/>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被授权人身份证正反面：</w:t>
      </w:r>
      <w:r/>
    </w:p>
    <w:p>
      <w:pPr>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br w:type="page" w:clear="all"/>
      </w:r>
      <w:r/>
    </w:p>
    <w:p>
      <w:pPr>
        <w:ind w:firstLine="420"/>
        <w:spacing w:line="360" w:lineRule="auto"/>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widowControl/>
        <w:rPr>
          <w:b/>
          <w:color w:val="auto"/>
          <w:sz w:val="21"/>
          <w:szCs w:val="21"/>
          <w:highlight w:val="none"/>
        </w:rPr>
        <w:outlineLvl w:val="1"/>
      </w:pPr>
      <w:r>
        <w:rPr>
          <w:rFonts w:hint="eastAsia"/>
          <w:b/>
          <w:color w:val="auto"/>
          <w:sz w:val="21"/>
          <w:szCs w:val="21"/>
          <w:highlight w:val="none"/>
          <w:lang w:val="en-US"/>
        </w:rPr>
        <w:t xml:space="preserve">目录</w:t>
      </w:r>
      <w:r>
        <w:rPr>
          <w:rFonts w:hint="eastAsia"/>
          <w:b/>
          <w:color w:val="auto"/>
          <w:sz w:val="21"/>
          <w:szCs w:val="21"/>
          <w:highlight w:val="none"/>
        </w:rPr>
        <w:t xml:space="preserve">三、开标一览表</w:t>
      </w:r>
      <w:r/>
    </w:p>
    <w:p>
      <w:pPr>
        <w:pStyle w:val="1121"/>
        <w:jc w:val="center"/>
        <w:keepLines w:val="0"/>
        <w:keepNext w:val="0"/>
        <w:widowControl/>
        <w:rPr>
          <w:color w:val="auto"/>
          <w:highlight w:val="none"/>
        </w:rPr>
      </w:pPr>
      <w:r>
        <w:rPr>
          <w:rStyle w:val="1122"/>
          <w:rFonts w:hint="eastAsia" w:cs="宋体"/>
          <w:b/>
          <w:bCs w:val="0"/>
          <w:color w:val="auto"/>
          <w:sz w:val="36"/>
          <w:szCs w:val="36"/>
          <w:highlight w:val="none"/>
        </w:rPr>
        <w:t xml:space="preserve">开标一览表（总价）</w:t>
      </w:r>
      <w:r/>
    </w:p>
    <w:p>
      <w:pPr>
        <w:pStyle w:val="1124"/>
        <w:rPr>
          <w:color w:val="auto"/>
          <w:sz w:val="21"/>
          <w:szCs w:val="20"/>
          <w:highlight w:val="none"/>
        </w:rPr>
      </w:pPr>
      <w:r>
        <w:rPr>
          <w:rFonts w:hint="eastAsia"/>
          <w:color w:val="auto"/>
          <w:sz w:val="21"/>
          <w:szCs w:val="20"/>
          <w:highlight w:val="none"/>
        </w:rPr>
        <w:t xml:space="preserve">投标人全称（CA公章）：供应商名称 </w:t>
      </w:r>
      <w:r/>
    </w:p>
    <w:p>
      <w:pPr>
        <w:pStyle w:val="1124"/>
        <w:rPr>
          <w:color w:val="auto"/>
          <w:sz w:val="21"/>
          <w:szCs w:val="20"/>
          <w:highlight w:val="none"/>
        </w:rPr>
      </w:pPr>
      <w:r>
        <w:rPr>
          <w:rFonts w:hint="eastAsia"/>
          <w:color w:val="auto"/>
          <w:sz w:val="21"/>
          <w:szCs w:val="20"/>
          <w:highlight w:val="none"/>
        </w:rPr>
        <w:t xml:space="preserve">项目名称：</w:t>
      </w:r>
      <w:r/>
    </w:p>
    <w:p>
      <w:pPr>
        <w:pStyle w:val="1124"/>
        <w:rPr>
          <w:color w:val="auto"/>
          <w:sz w:val="21"/>
          <w:szCs w:val="20"/>
          <w:highlight w:val="none"/>
        </w:rPr>
      </w:pPr>
      <w:r>
        <w:rPr>
          <w:rFonts w:hint="eastAsia"/>
          <w:color w:val="auto"/>
          <w:sz w:val="21"/>
          <w:szCs w:val="20"/>
          <w:highlight w:val="none"/>
        </w:rPr>
        <w:t xml:space="preserve">项目编号：</w:t>
      </w:r>
      <w:r/>
    </w:p>
    <w:p>
      <w:pPr>
        <w:pStyle w:val="1124"/>
        <w:rPr>
          <w:color w:val="auto"/>
          <w:highlight w:val="none"/>
        </w:rPr>
      </w:pPr>
      <w:r>
        <w:rPr>
          <w:rFonts w:hint="eastAsia"/>
          <w:color w:val="auto"/>
          <w:sz w:val="21"/>
          <w:szCs w:val="20"/>
          <w:highlight w:val="none"/>
        </w:rPr>
        <w:t xml:space="preserve">分包号：</w:t>
      </w:r>
      <w:r/>
    </w:p>
    <w:tbl>
      <w:tblPr>
        <w:tblStyle w:val="869"/>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124"/>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1124"/>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1124"/>
              <w:rPr>
                <w:color w:val="auto"/>
                <w:sz w:val="21"/>
                <w:szCs w:val="21"/>
                <w:highlight w:val="none"/>
              </w:rPr>
            </w:pPr>
            <w:r>
              <w:rPr>
                <w:rFonts w:hint="eastAsia"/>
                <w:color w:val="auto"/>
                <w:sz w:val="21"/>
                <w:szCs w:val="21"/>
                <w:highlight w:val="none"/>
              </w:rPr>
              <w:t xml:space="preserve"> </w:t>
            </w:r>
            <w:r>
              <w:rPr>
                <w:rFonts w:hint="eastAsia"/>
                <w:color w:val="auto"/>
                <w:sz w:val="21"/>
                <w:szCs w:val="21"/>
                <w:highlight w:val="none"/>
              </w:rPr>
              <w:fldChar w:fldCharType="begin"/>
            </w:r>
            <w:r>
              <w:rPr>
                <w:rFonts w:hint="eastAsia"/>
                <w:color w:val="auto"/>
                <w:sz w:val="21"/>
                <w:szCs w:val="21"/>
                <w:highlight w:val="none"/>
              </w:rPr>
              <w:instrText xml:space="preserve"> CONTROL Forms.HTML:Text.1 \s </w:instrText>
            </w:r>
            <w:r>
              <w:rPr>
                <w:rFonts w:hint="eastAsia"/>
                <w:color w:val="auto"/>
                <w:sz w:val="21"/>
                <w:szCs w:val="21"/>
                <w:highlight w:val="none"/>
              </w:rPr>
              <w:fldChar w:fldCharType="separate"/>
            </w:r>
            <w:r>
              <w:rPr>
                <w:rFonts w:hint="eastAsia"/>
                <w:color w:val="auto"/>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6"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sz w:val="21"/>
                <w:szCs w:val="21"/>
                <w:highlight w:val="none"/>
              </w:rPr>
              <w:fldChar w:fldCharType="end"/>
            </w:r>
            <w:r>
              <w:rPr>
                <w:rFonts w:hint="eastAsia"/>
                <w:color w:val="auto"/>
                <w:sz w:val="21"/>
                <w:szCs w:val="21"/>
                <w:highlight w:val="none"/>
              </w:rPr>
              <w:t xml:space="preserve"> 元</w:t>
            </w:r>
            <w:r/>
          </w:p>
        </w:tc>
      </w:tr>
    </w:tbl>
    <w:p>
      <w:pPr>
        <w:ind w:firstLine="420"/>
        <w:spacing w:line="360" w:lineRule="auto"/>
        <w:rPr>
          <w:color w:val="auto"/>
          <w:sz w:val="21"/>
          <w:szCs w:val="21"/>
          <w:highlight w:val="none"/>
        </w:rPr>
      </w:pPr>
      <w:r>
        <w:rPr>
          <w:rFonts w:hint="eastAsia"/>
          <w:color w:val="auto"/>
          <w:highlight w:val="none"/>
        </w:rPr>
        <w:t xml:space="preserve">          </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7" name="图片 3"/>
                <wp:cNvGraphicFramePr/>
                <a:graphic xmlns:a="http://schemas.openxmlformats.org/drawingml/2006/main">
                  <a:graphicData uri="http://schemas.openxmlformats.org/drawingml/2006/picture">
                    <pic:pic xmlns:pic="http://schemas.openxmlformats.org/drawingml/2006/picture">
                      <pic:nvPicPr>
                        <pic:cNvPr id="10" name="图片 3"/>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年</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8" name="图片 4"/>
                <wp:cNvGraphicFramePr/>
                <a:graphic xmlns:a="http://schemas.openxmlformats.org/drawingml/2006/main">
                  <a:graphicData uri="http://schemas.openxmlformats.org/drawingml/2006/picture">
                    <pic:pic xmlns:pic="http://schemas.openxmlformats.org/drawingml/2006/picture">
                      <pic:nvPicPr>
                        <pic:cNvPr id="11" name="图片 4"/>
                        <pic:cNvPicPr/>
                        <pic:nvPr/>
                      </pic:nvPicPr>
                      <pic:blipFill>
                        <a:blip r:embed="rId16"/>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月</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9" name="图片 5"/>
                <wp:cNvGraphicFramePr/>
                <a:graphic xmlns:a="http://schemas.openxmlformats.org/drawingml/2006/main">
                  <a:graphicData uri="http://schemas.openxmlformats.org/drawingml/2006/picture">
                    <pic:pic xmlns:pic="http://schemas.openxmlformats.org/drawingml/2006/picture">
                      <pic:nvPicPr>
                        <pic:cNvPr id="12" name="图片 5"/>
                        <pic:cNvPicPr/>
                        <pic:nvPr/>
                      </pic:nvPicPr>
                      <pic:blipFill>
                        <a:blip r:embed="rId16"/>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auto"/>
          <w:highlight w:val="none"/>
        </w:rPr>
        <w:fldChar w:fldCharType="end"/>
      </w:r>
      <w:r>
        <w:rPr>
          <w:rFonts w:hint="eastAsia"/>
          <w:color w:val="auto"/>
          <w:highlight w:val="none"/>
        </w:rPr>
        <w:t xml:space="preserve"> 日</w:t>
      </w:r>
      <w:r/>
    </w:p>
    <w:p>
      <w:pPr>
        <w:ind w:firstLine="440"/>
        <w:spacing w:line="360" w:lineRule="auto"/>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ind w:firstLine="422"/>
        <w:spacing w:line="360" w:lineRule="auto"/>
        <w:rPr>
          <w:b/>
          <w:color w:val="auto"/>
          <w:sz w:val="21"/>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目录四、分项报价表格式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分项报价表</w:t>
      </w:r>
      <w:r/>
    </w:p>
    <w:p>
      <w:pPr>
        <w:ind w:firstLine="420"/>
        <w:spacing w:line="360" w:lineRule="auto"/>
        <w:tabs>
          <w:tab w:val="left" w:pos="6952"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p>
      <w:pPr>
        <w:jc w:val="center"/>
        <w:spacing w:line="360" w:lineRule="auto"/>
        <w:widowControl/>
        <w:rPr>
          <w:rFonts w:hAnsi="Times New Roman"/>
          <w:bCs/>
          <w:color w:val="auto"/>
          <w:sz w:val="21"/>
          <w:szCs w:val="21"/>
          <w:highlight w:val="none"/>
          <w:lang w:bidi="ar-SA"/>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auto"/>
          <w:sz w:val="21"/>
          <w:szCs w:val="21"/>
          <w:highlight w:val="none"/>
          <w:lang w:bidi="ar-SA"/>
        </w:rPr>
      </w:r>
      <w:r/>
    </w:p>
    <w:tbl>
      <w:tblPr>
        <w:tblStyle w:val="869"/>
        <w:tblW w:w="10348"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0"/>
        <w:gridCol w:w="1701"/>
        <w:gridCol w:w="1560"/>
        <w:gridCol w:w="1275"/>
      </w:tblGrid>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jc w:val="center"/>
              <w:spacing w:line="360" w:lineRule="auto"/>
              <w:rPr>
                <w:color w:val="auto"/>
                <w:sz w:val="24"/>
                <w:highlight w:val="none"/>
              </w:rPr>
            </w:pPr>
            <w:r>
              <w:rPr>
                <w:rFonts w:hint="eastAsia"/>
                <w:color w:val="auto"/>
                <w:sz w:val="24"/>
                <w:highlight w:val="none"/>
              </w:rPr>
              <w:t xml:space="preserve">品牌/规格/型号/产地 </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spacing w:line="360" w:lineRule="auto"/>
              <w:rPr>
                <w:color w:val="auto"/>
                <w:sz w:val="24"/>
                <w:highlight w:val="none"/>
              </w:rPr>
            </w:pPr>
            <w:r>
              <w:rPr>
                <w:rFonts w:hint="eastAsia"/>
                <w:color w:val="auto"/>
                <w:sz w:val="24"/>
                <w:highlight w:val="none"/>
              </w:rPr>
              <w:t xml:space="preserve">数量 </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color w:val="auto"/>
                <w:sz w:val="24"/>
                <w:highlight w:val="none"/>
              </w:rPr>
            </w:pPr>
            <w:r>
              <w:rPr>
                <w:rFonts w:hint="eastAsia"/>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rPr>
                <w:color w:val="auto"/>
                <w:sz w:val="24"/>
                <w:highlight w:val="none"/>
              </w:rPr>
            </w:pPr>
            <w:r>
              <w:rPr>
                <w:rFonts w:hint="eastAsia"/>
                <w:color w:val="auto"/>
                <w:sz w:val="24"/>
                <w:highlight w:val="none"/>
              </w:rPr>
              <w:t xml:space="preserve">交付时间</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jc w:val="center"/>
              <w:spacing w:line="360" w:lineRule="auto"/>
              <w:rPr>
                <w:color w:val="auto"/>
                <w:sz w:val="24"/>
                <w:highlight w:val="none"/>
              </w:rPr>
            </w:pPr>
            <w:r>
              <w:rPr>
                <w:rFonts w:hint="eastAsia"/>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jc w:val="center"/>
              <w:spacing w:line="360" w:lineRule="auto"/>
              <w:rPr>
                <w:color w:val="auto"/>
                <w:sz w:val="24"/>
                <w:highlight w:val="none"/>
              </w:rPr>
            </w:pPr>
            <w:r>
              <w:rPr>
                <w:rFonts w:hint="eastAsia"/>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spacing w:line="360" w:lineRule="auto"/>
              <w:rPr>
                <w:color w:val="auto"/>
                <w:sz w:val="24"/>
                <w:highlight w:val="none"/>
              </w:rPr>
            </w:pPr>
            <w:r>
              <w:rPr>
                <w:color w:val="auto"/>
                <w:sz w:val="24"/>
                <w:highlight w:val="none"/>
              </w:rPr>
            </w:r>
            <w:r/>
          </w:p>
        </w:tc>
      </w:tr>
    </w:tbl>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420"/>
        <w:spacing w:line="360" w:lineRule="auto"/>
        <w:rPr>
          <w:color w:val="auto"/>
          <w:sz w:val="21"/>
          <w:szCs w:val="21"/>
          <w:highlight w:val="none"/>
        </w:rPr>
      </w:pPr>
      <w:r>
        <w:rPr>
          <w:color w:val="auto"/>
          <w:sz w:val="21"/>
          <w:szCs w:val="21"/>
          <w:highlight w:val="none"/>
        </w:rPr>
        <w:t xml:space="preserve">说明：</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本表仅供参考，</w:t>
      </w:r>
      <w:r>
        <w:rPr>
          <w:color w:val="auto"/>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lang w:val="en-US"/>
        </w:rPr>
        <w:sectPr>
          <w:footnotePr/>
          <w:endnotePr/>
          <w:type w:val="continuous"/>
          <w:pgSz w:w="11910" w:h="16840" w:orient="portrait"/>
          <w:pgMar w:top="1134" w:right="1134" w:bottom="1134" w:left="1134" w:header="567" w:footer="567" w:gutter="0"/>
          <w:cols w:num="1" w:sep="0" w:space="720" w:equalWidth="1"/>
          <w:docGrid w:linePitch="360"/>
        </w:sectPr>
      </w:pPr>
      <w:r>
        <w:rPr>
          <w:color w:val="auto"/>
          <w:sz w:val="21"/>
          <w:szCs w:val="21"/>
          <w:highlight w:val="none"/>
          <w:lang w:val="en-US"/>
        </w:rPr>
      </w:r>
      <w:r/>
    </w:p>
    <w:p>
      <w:pPr>
        <w:spacing w:line="360" w:lineRule="auto"/>
        <w:rPr>
          <w:color w:val="auto"/>
          <w:sz w:val="19"/>
          <w:szCs w:val="21"/>
          <w:highlight w:val="none"/>
        </w:rPr>
      </w:pPr>
      <w:r>
        <w:rPr>
          <w:color w:val="auto"/>
          <w:sz w:val="19"/>
          <w:szCs w:val="21"/>
          <w:highlight w:val="none"/>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w:t>
      </w:r>
      <w:r>
        <w:rPr>
          <w:rFonts w:hint="eastAsia"/>
          <w:b/>
          <w:color w:val="auto"/>
          <w:sz w:val="21"/>
          <w:highlight w:val="none"/>
        </w:rPr>
        <w:t xml:space="preserve">五</w:t>
      </w:r>
      <w:r>
        <w:rPr>
          <w:b/>
          <w:color w:val="auto"/>
          <w:sz w:val="21"/>
          <w:highlight w:val="none"/>
        </w:rPr>
        <w:t xml:space="preserve">、技术条款偏离表格式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技术条款偏离表</w:t>
      </w:r>
      <w:r/>
    </w:p>
    <w:p>
      <w:pPr>
        <w:jc w:val="center"/>
        <w:spacing w:line="360" w:lineRule="auto"/>
        <w:rPr>
          <w:rFonts w:asciiTheme="minorEastAsia" w:hAnsiTheme="minorEastAsia" w:eastAsiaTheme="minorEastAsia"/>
          <w:b/>
          <w:color w:val="auto"/>
          <w:sz w:val="36"/>
          <w:highlight w:val="none"/>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auto"/>
          <w:sz w:val="36"/>
          <w:highlight w:val="none"/>
        </w:rPr>
      </w:r>
      <w:r/>
    </w:p>
    <w:p>
      <w:pPr>
        <w:ind w:left="240"/>
        <w:spacing w:line="360" w:lineRule="auto"/>
        <w:tabs>
          <w:tab w:val="left" w:pos="6736"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tbl>
      <w:tblPr>
        <w:tblStyle w:val="869"/>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rPr>
                <w:color w:val="auto"/>
                <w:sz w:val="21"/>
                <w:highlight w:val="none"/>
              </w:rPr>
            </w:pPr>
            <w:r>
              <w:rPr>
                <w:rFonts w:hint="eastAsia"/>
                <w:color w:val="auto"/>
                <w:sz w:val="21"/>
                <w:highlight w:val="none"/>
              </w:rPr>
              <w:t xml:space="preserve">招标要求条款</w:t>
            </w:r>
            <w:r/>
          </w:p>
        </w:tc>
        <w:tc>
          <w:tcPr>
            <w:tcW w:w="3240" w:type="dxa"/>
            <w:vAlign w:val="center"/>
            <w:textDirection w:val="lrTb"/>
            <w:noWrap w:val="false"/>
          </w:tcPr>
          <w:p>
            <w:pPr>
              <w:jc w:val="center"/>
              <w:rPr>
                <w:color w:val="auto"/>
                <w:sz w:val="21"/>
                <w:highlight w:val="none"/>
              </w:rPr>
            </w:pPr>
            <w:r>
              <w:rPr>
                <w:color w:val="auto"/>
                <w:sz w:val="21"/>
                <w:highlight w:val="none"/>
              </w:rPr>
              <w:t xml:space="preserve">投标响应</w:t>
            </w:r>
            <w:r/>
          </w:p>
        </w:tc>
        <w:tc>
          <w:tcPr>
            <w:tcW w:w="1110" w:type="dxa"/>
            <w:vAlign w:val="center"/>
            <w:textDirection w:val="lrTb"/>
            <w:noWrap w:val="false"/>
          </w:tcPr>
          <w:p>
            <w:pPr>
              <w:jc w:val="center"/>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110" w:type="dxa"/>
            <w:textDirection w:val="lrTb"/>
            <w:noWrap w:val="false"/>
          </w:tcPr>
          <w:p>
            <w:pPr>
              <w:jc w:val="center"/>
              <w:rPr>
                <w:color w:val="auto"/>
                <w:sz w:val="21"/>
                <w:highlight w:val="none"/>
              </w:rPr>
            </w:pPr>
            <w:r>
              <w:rPr>
                <w:rFonts w:hint="eastAsia"/>
                <w:color w:val="auto"/>
                <w:sz w:val="21"/>
                <w:highlight w:val="none"/>
              </w:rPr>
              <w:t xml:space="preserve">页码</w:t>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8"/>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bl>
    <w:p>
      <w:pPr>
        <w:spacing w:line="360" w:lineRule="auto"/>
        <w:rPr>
          <w:color w:val="auto"/>
          <w:sz w:val="10"/>
          <w:szCs w:val="21"/>
          <w:highlight w:val="none"/>
        </w:rPr>
      </w:pPr>
      <w:r>
        <w:rPr>
          <w:color w:val="auto"/>
          <w:sz w:val="10"/>
          <w:szCs w:val="21"/>
          <w:highlight w:val="none"/>
        </w:rPr>
      </w:r>
      <w:r/>
    </w:p>
    <w:p>
      <w:pPr>
        <w:ind w:left="223"/>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spacing w:line="360" w:lineRule="auto"/>
        <w:rPr>
          <w:color w:val="auto"/>
          <w:sz w:val="15"/>
          <w:szCs w:val="21"/>
          <w:highlight w:val="none"/>
        </w:rPr>
      </w:pPr>
      <w:r>
        <w:rPr>
          <w:color w:val="auto"/>
          <w:sz w:val="15"/>
          <w:szCs w:val="21"/>
          <w:highlight w:val="none"/>
        </w:rPr>
      </w:r>
      <w:r/>
    </w:p>
    <w:p>
      <w:pPr>
        <w:ind w:left="223"/>
        <w:spacing w:line="360" w:lineRule="auto"/>
        <w:rPr>
          <w:color w:val="auto"/>
          <w:sz w:val="21"/>
          <w:szCs w:val="21"/>
          <w:highlight w:val="none"/>
        </w:rPr>
      </w:pPr>
      <w:r>
        <w:rPr>
          <w:color w:val="auto"/>
          <w:sz w:val="21"/>
          <w:szCs w:val="21"/>
          <w:highlight w:val="none"/>
        </w:rPr>
        <w:t xml:space="preserve">说明：1、如果行数不够，请自行增加</w:t>
      </w:r>
      <w:r>
        <w:rPr>
          <w:rFonts w:hint="eastAsia"/>
          <w:color w:val="auto"/>
          <w:sz w:val="21"/>
          <w:szCs w:val="21"/>
          <w:highlight w:val="none"/>
        </w:rPr>
        <w:t xml:space="preserve">。</w:t>
      </w:r>
      <w:r/>
    </w:p>
    <w:p>
      <w:pPr>
        <w:ind w:left="223"/>
        <w:spacing w:line="360" w:lineRule="auto"/>
        <w:rPr>
          <w:color w:val="auto"/>
          <w:sz w:val="21"/>
          <w:szCs w:val="21"/>
          <w:highlight w:val="none"/>
        </w:rPr>
      </w:pPr>
      <w:r>
        <w:rPr>
          <w:color w:val="auto"/>
          <w:sz w:val="21"/>
          <w:szCs w:val="21"/>
          <w:highlight w:val="none"/>
        </w:rPr>
      </w:r>
      <w:r/>
    </w:p>
    <w:p>
      <w:pPr>
        <w:ind w:left="223"/>
        <w:spacing w:line="360" w:lineRule="auto"/>
        <w:rPr>
          <w:b/>
          <w:color w:val="auto"/>
          <w:sz w:val="21"/>
          <w:highlight w:val="none"/>
        </w:rPr>
      </w:pPr>
      <w:r>
        <w:rPr>
          <w:b/>
          <w:color w:val="auto"/>
          <w:sz w:val="21"/>
          <w:highlight w:val="none"/>
        </w:rPr>
      </w:r>
      <w:r/>
    </w:p>
    <w:p>
      <w:pPr>
        <w:spacing w:line="360" w:lineRule="auto"/>
        <w:rPr>
          <w:color w:val="auto"/>
          <w:sz w:val="21"/>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sz w:val="21"/>
          <w:highlight w:val="none"/>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六</w:t>
      </w:r>
      <w:r>
        <w:rPr>
          <w:b/>
          <w:color w:val="auto"/>
          <w:sz w:val="21"/>
          <w:highlight w:val="none"/>
        </w:rPr>
        <w:t xml:space="preserve">、商务条款偏离表</w:t>
      </w:r>
      <w:r>
        <w:rPr>
          <w:rFonts w:hint="eastAsia"/>
          <w:b/>
          <w:color w:val="auto"/>
          <w:sz w:val="21"/>
          <w:highlight w:val="none"/>
        </w:rPr>
        <w:t xml:space="preserve">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商务条款偏离表</w:t>
      </w:r>
      <w:r/>
    </w:p>
    <w:p>
      <w:pP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ind w:firstLine="420"/>
        <w:spacing w:line="360" w:lineRule="auto"/>
        <w:rPr>
          <w:color w:val="auto"/>
          <w:sz w:val="6"/>
          <w:szCs w:val="21"/>
          <w:highlight w:val="none"/>
        </w:rPr>
      </w:pPr>
      <w:r>
        <w:rPr>
          <w:color w:val="auto"/>
          <w:sz w:val="21"/>
          <w:szCs w:val="21"/>
          <w:highlight w:val="none"/>
        </w:rPr>
        <w:t xml:space="preserve">项目名称：项目编号：</w:t>
      </w:r>
      <w:r/>
    </w:p>
    <w:tbl>
      <w:tblPr>
        <w:tblStyle w:val="86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招标文件要求的商务条款</w:t>
            </w:r>
            <w:r/>
          </w:p>
        </w:tc>
        <w:tc>
          <w:tcPr>
            <w:tcW w:w="2873" w:type="dxa"/>
            <w:vAlign w:val="center"/>
            <w:textDirection w:val="lrTb"/>
            <w:noWrap w:val="false"/>
          </w:tcPr>
          <w:p>
            <w:pPr>
              <w:jc w:val="center"/>
              <w:spacing w:line="360" w:lineRule="auto"/>
              <w:rPr>
                <w:color w:val="auto"/>
                <w:sz w:val="21"/>
                <w:highlight w:val="none"/>
              </w:rPr>
            </w:pPr>
            <w:r>
              <w:rPr>
                <w:color w:val="auto"/>
                <w:sz w:val="21"/>
                <w:highlight w:val="none"/>
              </w:rPr>
              <w:t xml:space="preserve">投标响应</w:t>
            </w:r>
            <w:r/>
          </w:p>
        </w:tc>
        <w:tc>
          <w:tcPr>
            <w:tcW w:w="1519" w:type="dxa"/>
            <w:vAlign w:val="center"/>
            <w:textDirection w:val="lrTb"/>
            <w:noWrap w:val="false"/>
          </w:tcPr>
          <w:p>
            <w:pPr>
              <w:jc w:val="center"/>
              <w:spacing w:line="360" w:lineRule="auto"/>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519" w:type="dxa"/>
            <w:textDirection w:val="lrTb"/>
            <w:noWrap w:val="false"/>
          </w:tcPr>
          <w:p>
            <w:pPr>
              <w:jc w:val="center"/>
              <w:spacing w:line="360" w:lineRule="auto"/>
              <w:rPr>
                <w:color w:val="auto"/>
                <w:sz w:val="21"/>
                <w:highlight w:val="none"/>
              </w:rPr>
            </w:pPr>
            <w:r>
              <w:rPr>
                <w:rFonts w:hint="eastAsia"/>
                <w:color w:val="auto"/>
                <w:sz w:val="21"/>
                <w:highlight w:val="none"/>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bl>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300"/>
        <w:spacing w:line="360" w:lineRule="auto"/>
        <w:rPr>
          <w:color w:val="auto"/>
          <w:sz w:val="15"/>
          <w:szCs w:val="21"/>
          <w:highlight w:val="none"/>
        </w:rPr>
      </w:pPr>
      <w:r>
        <w:rPr>
          <w:color w:val="auto"/>
          <w:sz w:val="15"/>
          <w:szCs w:val="21"/>
          <w:highlight w:val="none"/>
        </w:rPr>
      </w:r>
      <w:r/>
    </w:p>
    <w:p>
      <w:pPr>
        <w:ind w:firstLine="420"/>
        <w:spacing w:line="360" w:lineRule="auto"/>
        <w:rPr>
          <w:color w:val="auto"/>
          <w:sz w:val="21"/>
          <w:szCs w:val="21"/>
          <w:highlight w:val="none"/>
        </w:rPr>
      </w:pPr>
      <w:r>
        <w:rPr>
          <w:color w:val="auto"/>
          <w:sz w:val="21"/>
          <w:szCs w:val="21"/>
          <w:highlight w:val="none"/>
        </w:rPr>
        <w:t xml:space="preserve">说明：如果行数不够，请自行增加。</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七</w:t>
      </w:r>
      <w:r>
        <w:rPr>
          <w:b/>
          <w:color w:val="auto"/>
          <w:sz w:val="21"/>
          <w:highlight w:val="none"/>
        </w:rPr>
        <w:t xml:space="preserve">、</w:t>
      </w:r>
      <w:r>
        <w:rPr>
          <w:rFonts w:hint="eastAsia"/>
          <w:b/>
          <w:color w:val="auto"/>
          <w:sz w:val="21"/>
          <w:highlight w:val="none"/>
        </w:rPr>
        <w:t xml:space="preserve">技术</w:t>
      </w:r>
      <w:r>
        <w:rPr>
          <w:b/>
          <w:color w:val="auto"/>
          <w:sz w:val="21"/>
          <w:highlight w:val="none"/>
        </w:rPr>
        <w:t xml:space="preserve">方案</w:t>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技术</w:t>
      </w:r>
      <w:r>
        <w:rPr>
          <w:rFonts w:asciiTheme="minorEastAsia" w:hAnsiTheme="minorEastAsia" w:eastAsiaTheme="minorEastAsia"/>
          <w:b/>
          <w:color w:val="auto"/>
          <w:sz w:val="36"/>
          <w:highlight w:val="none"/>
        </w:rPr>
        <w:t xml:space="preserve">方案（</w:t>
      </w:r>
      <w:r>
        <w:rPr>
          <w:rFonts w:hint="eastAsia" w:asciiTheme="minorEastAsia" w:hAnsiTheme="minorEastAsia" w:eastAsiaTheme="minorEastAsia"/>
          <w:b/>
          <w:color w:val="auto"/>
          <w:sz w:val="36"/>
          <w:highlight w:val="none"/>
        </w:rPr>
        <w:t xml:space="preserve">内容自拟</w:t>
      </w:r>
      <w:r>
        <w:rPr>
          <w:rFonts w:asciiTheme="minorEastAsia" w:hAnsiTheme="minorEastAsia" w:eastAsiaTheme="minorEastAsia"/>
          <w:b/>
          <w:color w:val="auto"/>
          <w:sz w:val="36"/>
          <w:highlight w:val="none"/>
        </w:rPr>
        <w:t xml:space="preserve">）</w:t>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八</w:t>
      </w:r>
      <w:r>
        <w:rPr>
          <w:b/>
          <w:color w:val="auto"/>
          <w:sz w:val="21"/>
          <w:highlight w:val="none"/>
        </w:rPr>
        <w:t xml:space="preserve">、</w:t>
      </w:r>
      <w:r>
        <w:rPr>
          <w:rFonts w:hint="eastAsia"/>
          <w:b/>
          <w:color w:val="auto"/>
          <w:sz w:val="21"/>
          <w:highlight w:val="none"/>
        </w:rPr>
        <w:t xml:space="preserve">拟参与本项目供货人员一览表</w:t>
      </w:r>
      <w:r/>
    </w:p>
    <w:p>
      <w:pPr>
        <w:contextualSpacing/>
        <w:ind w:firstLine="360"/>
        <w:jc w:val="cente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拟参与本项目供货人员一览表</w:t>
      </w:r>
      <w:r/>
    </w:p>
    <w:p>
      <w:pPr>
        <w:spacing w:line="360" w:lineRule="auto"/>
        <w:rPr>
          <w:color w:val="auto"/>
          <w:sz w:val="21"/>
          <w:szCs w:val="21"/>
          <w:highlight w:val="none"/>
        </w:rPr>
        <w:sectPr>
          <w:footnotePr/>
          <w:endnotePr/>
          <w:type w:val="continuous"/>
          <w:pgSz w:w="11910" w:h="16840" w:orient="portrait"/>
          <w:pgMar w:top="1134" w:right="1134" w:bottom="1134" w:left="1134" w:header="567" w:footer="720" w:gutter="0"/>
          <w:cols w:num="1" w:sep="0" w:space="720" w:equalWidth="1"/>
          <w:docGrid w:linePitch="360"/>
        </w:sectPr>
      </w:pPr>
      <w:r>
        <w:rPr>
          <w:color w:val="auto"/>
          <w:sz w:val="21"/>
          <w:szCs w:val="21"/>
          <w:highlight w:val="none"/>
        </w:rPr>
      </w:r>
      <w:r/>
    </w:p>
    <w:tbl>
      <w:tblPr>
        <w:tblStyle w:val="869"/>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bl>
    <w:p>
      <w:pPr>
        <w:ind w:firstLine="210"/>
        <w:spacing w:line="360" w:lineRule="auto"/>
        <w:rPr>
          <w:bCs/>
          <w:color w:val="auto"/>
          <w:sz w:val="21"/>
          <w:highlight w:val="none"/>
        </w:rPr>
      </w:pPr>
      <w:r>
        <w:rPr>
          <w:rFonts w:hint="eastAsia"/>
          <w:bCs/>
          <w:color w:val="auto"/>
          <w:sz w:val="21"/>
          <w:highlight w:val="none"/>
        </w:rPr>
        <w:t xml:space="preserve">供应商名称：（盖章）</w:t>
      </w:r>
      <w:r/>
    </w:p>
    <w:p>
      <w:pPr>
        <w:ind w:firstLine="210"/>
        <w:spacing w:line="360" w:lineRule="auto"/>
        <w:rPr>
          <w:bCs/>
          <w:color w:val="auto"/>
          <w:sz w:val="21"/>
          <w:highlight w:val="none"/>
        </w:rPr>
      </w:pPr>
      <w:r>
        <w:rPr>
          <w:bCs/>
          <w:color w:val="auto"/>
          <w:sz w:val="21"/>
          <w:highlight w:val="none"/>
        </w:rPr>
      </w:r>
      <w:r/>
    </w:p>
    <w:p>
      <w:pPr>
        <w:ind w:firstLine="420"/>
        <w:spacing w:line="360" w:lineRule="auto"/>
        <w:rPr>
          <w:bCs/>
          <w:color w:val="auto"/>
          <w:sz w:val="21"/>
          <w:highlight w:val="none"/>
        </w:rPr>
      </w:pPr>
      <w:r>
        <w:rPr>
          <w:rFonts w:hint="eastAsia"/>
          <w:bCs/>
          <w:color w:val="auto"/>
          <w:sz w:val="21"/>
          <w:highlight w:val="none"/>
        </w:rPr>
        <w:t xml:space="preserve">说明：</w:t>
      </w:r>
      <w:r/>
    </w:p>
    <w:p>
      <w:pPr>
        <w:ind w:firstLine="420"/>
        <w:spacing w:line="360" w:lineRule="auto"/>
        <w:rPr>
          <w:bCs/>
          <w:color w:val="auto"/>
          <w:sz w:val="21"/>
          <w:highlight w:val="none"/>
        </w:rPr>
      </w:pPr>
      <w:r>
        <w:rPr>
          <w:rFonts w:hint="eastAsia"/>
          <w:bCs/>
          <w:color w:val="auto"/>
          <w:sz w:val="21"/>
          <w:highlight w:val="none"/>
          <w:lang w:val="en-US"/>
        </w:rPr>
        <w:t xml:space="preserve">1、</w:t>
      </w:r>
      <w:r>
        <w:rPr>
          <w:rFonts w:hint="eastAsia"/>
          <w:bCs/>
          <w:color w:val="auto"/>
          <w:sz w:val="21"/>
          <w:highlight w:val="none"/>
        </w:rPr>
        <w:t xml:space="preserve">如果行数不够，请自行增加。</w:t>
      </w:r>
      <w:r/>
    </w:p>
    <w:p>
      <w:pPr>
        <w:spacing w:line="360" w:lineRule="auto"/>
        <w:rPr>
          <w:bCs/>
          <w:color w:val="auto"/>
          <w:sz w:val="21"/>
          <w:highlight w:val="none"/>
          <w:lang w:val="en-US"/>
        </w:rPr>
      </w:pPr>
      <w:r>
        <w:rPr>
          <w:bCs/>
          <w:color w:val="auto"/>
          <w:sz w:val="21"/>
          <w:highlight w:val="none"/>
          <w:lang w:val="en-US"/>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九</w:t>
      </w:r>
      <w:r>
        <w:rPr>
          <w:b/>
          <w:color w:val="auto"/>
          <w:sz w:val="21"/>
          <w:highlight w:val="none"/>
        </w:rPr>
        <w:t xml:space="preserve">、</w:t>
      </w:r>
      <w:r>
        <w:rPr>
          <w:rFonts w:hint="eastAsia"/>
          <w:b/>
          <w:color w:val="auto"/>
          <w:sz w:val="21"/>
          <w:highlight w:val="none"/>
        </w:rPr>
        <w:t xml:space="preserve">相关承诺</w:t>
      </w:r>
      <w:r/>
    </w:p>
    <w:p>
      <w:pPr>
        <w:jc w:val="center"/>
        <w:spacing w:line="360" w:lineRule="auto"/>
        <w:rPr>
          <w:color w:val="auto"/>
          <w:sz w:val="36"/>
          <w:highlight w:val="none"/>
        </w:rPr>
      </w:pPr>
      <w:r>
        <w:rPr>
          <w:rFonts w:hint="eastAsia" w:asciiTheme="minorEastAsia" w:hAnsiTheme="minorEastAsia" w:eastAsiaTheme="minorEastAsia"/>
          <w:b/>
          <w:color w:val="auto"/>
          <w:sz w:val="36"/>
          <w:highlight w:val="none"/>
        </w:rPr>
        <w:t xml:space="preserve">相关承诺</w:t>
      </w:r>
      <w:r>
        <w:rPr>
          <w:rFonts w:asciiTheme="minorEastAsia" w:hAnsiTheme="minorEastAsia" w:eastAsiaTheme="minorEastAsia"/>
          <w:b/>
          <w:color w:val="auto"/>
          <w:sz w:val="36"/>
          <w:highlight w:val="none"/>
        </w:rPr>
        <w:t xml:space="preserve">（若有</w:t>
      </w:r>
      <w:r>
        <w:rPr>
          <w:color w:val="auto"/>
          <w:sz w:val="36"/>
          <w:highlight w:val="none"/>
        </w:rPr>
        <w:t xml:space="preserve">）</w:t>
      </w:r>
      <w:r/>
    </w:p>
    <w:p>
      <w:pPr>
        <w:pStyle w:val="884"/>
        <w:rPr>
          <w:color w:val="auto"/>
          <w:highlight w:val="none"/>
        </w:rPr>
      </w:pPr>
      <w:r>
        <w:rPr>
          <w:color w:val="auto"/>
          <w:highlight w:val="none"/>
        </w:rPr>
      </w:r>
      <w:r/>
    </w:p>
    <w:p>
      <w:pPr>
        <w:contextualSpacing/>
        <w:spacing w:line="360" w:lineRule="auto"/>
        <w:rPr>
          <w:b/>
          <w:color w:val="auto"/>
          <w:sz w:val="21"/>
          <w:highlight w:val="none"/>
        </w:rPr>
      </w:pPr>
      <w:r>
        <w:rPr>
          <w:b/>
          <w:color w:val="auto"/>
          <w:sz w:val="21"/>
          <w:highlight w:val="none"/>
        </w:rPr>
        <w:t xml:space="preserve">目录十、投标需要的其他证明文件及材料</w:t>
      </w:r>
      <w:r/>
    </w:p>
    <w:p>
      <w:pPr>
        <w:contextualSpacing/>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投标需要的其他证明文件及材料（若有）</w:t>
      </w:r>
      <w:r/>
    </w:p>
    <w:p>
      <w:pPr>
        <w:pStyle w:val="884"/>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spacing w:line="360" w:lineRule="auto"/>
        <w:rPr>
          <w:b/>
          <w:color w:val="auto"/>
          <w:sz w:val="21"/>
          <w:highlight w:val="none"/>
        </w:rPr>
      </w:pPr>
      <w:r>
        <w:rPr>
          <w:b/>
          <w:color w:val="auto"/>
          <w:sz w:val="21"/>
          <w:highlight w:val="none"/>
        </w:rPr>
        <w:t xml:space="preserve">附件一、中小企业声明函格式</w:t>
      </w:r>
      <w:r/>
    </w:p>
    <w:p>
      <w:pPr>
        <w:ind w:firstLine="482"/>
        <w:jc w:val="center"/>
        <w:spacing w:line="360" w:lineRule="auto"/>
        <w:rPr>
          <w:rFonts w:asciiTheme="majorEastAsia" w:hAnsiTheme="majorEastAsia" w:eastAsiaTheme="majorEastAsia" w:cstheme="minorBidi"/>
          <w:b/>
          <w:color w:val="auto"/>
          <w:sz w:val="24"/>
          <w:szCs w:val="24"/>
          <w:highlight w:val="none"/>
        </w:rPr>
      </w:pPr>
      <w:r>
        <w:rPr>
          <w:rFonts w:hint="eastAsia" w:asciiTheme="majorEastAsia" w:hAnsiTheme="majorEastAsia" w:eastAsiaTheme="majorEastAsia" w:cstheme="minorBidi"/>
          <w:b/>
          <w:color w:val="auto"/>
          <w:sz w:val="24"/>
          <w:szCs w:val="24"/>
          <w:highlight w:val="none"/>
        </w:rPr>
        <w:t xml:space="preserve">中小企业声明函（货物）</w:t>
      </w:r>
      <w:r/>
    </w:p>
    <w:p>
      <w:pPr>
        <w:ind w:firstLine="420"/>
        <w:spacing w:line="360" w:lineRule="auto"/>
        <w:rPr>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2、（标的名称），属于（工业）行业；制造商为（企业名称），从业人员人，营业收入为万元，资产总额为万元，属于（中型企业、小型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spacing w:line="360" w:lineRule="auto"/>
        <w:rPr>
          <w:color w:val="auto"/>
          <w:sz w:val="21"/>
          <w:szCs w:val="21"/>
          <w:highlight w:val="none"/>
        </w:rPr>
      </w:pPr>
      <w:r>
        <w:rPr>
          <w:rFonts w:hint="eastAsia"/>
          <w:color w:val="auto"/>
          <w:sz w:val="21"/>
          <w:szCs w:val="21"/>
          <w:highlight w:val="none"/>
        </w:rPr>
        <w:t xml:space="preserve">日期：</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b/>
          <w:bCs/>
          <w:color w:val="auto"/>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auto"/>
          <w:sz w:val="21"/>
          <w:szCs w:val="21"/>
          <w:highlight w:val="none"/>
        </w:rPr>
      </w:pPr>
      <w:r>
        <w:rPr>
          <w:rFonts w:hint="eastAsia"/>
          <w:color w:val="auto"/>
          <w:sz w:val="21"/>
          <w:szCs w:val="21"/>
          <w:highlight w:val="none"/>
        </w:rPr>
        <w:t xml:space="preserve">注2：从业人员、营业收入、资产总额填报上一年度数据，无上一年度数据的新成立企业可不填报。</w:t>
      </w:r>
      <w:r/>
    </w:p>
    <w:p>
      <w:pPr>
        <w:ind w:firstLine="420"/>
        <w:spacing w:line="360" w:lineRule="auto"/>
        <w:rPr>
          <w:color w:val="auto"/>
          <w:sz w:val="21"/>
          <w:szCs w:val="21"/>
          <w:highlight w:val="none"/>
        </w:rPr>
      </w:pPr>
      <w:r>
        <w:rPr>
          <w:rFonts w:hint="eastAsia"/>
          <w:color w:val="auto"/>
          <w:sz w:val="21"/>
          <w:szCs w:val="21"/>
          <w:highlight w:val="none"/>
        </w:rPr>
        <w:t xml:space="preserve">注3：供应商如不提供此声明函，价格将不做相应扣除。</w:t>
      </w:r>
      <w:r/>
    </w:p>
    <w:p>
      <w:pPr>
        <w:ind w:firstLine="420"/>
        <w:spacing w:line="480" w:lineRule="auto"/>
        <w:tabs>
          <w:tab w:val="left" w:pos="6103" w:leader="none"/>
        </w:tabs>
        <w:rPr>
          <w:color w:val="auto"/>
          <w:sz w:val="21"/>
          <w:szCs w:val="21"/>
          <w:highlight w:val="none"/>
        </w:rPr>
      </w:pPr>
      <w:r>
        <w:rPr>
          <w:color w:val="auto"/>
          <w:sz w:val="21"/>
          <w:szCs w:val="21"/>
          <w:highlight w:val="none"/>
        </w:rPr>
      </w:r>
      <w:r/>
    </w:p>
    <w:p>
      <w:pPr>
        <w:ind w:firstLine="400"/>
        <w:spacing w:line="480" w:lineRule="auto"/>
        <w:rPr>
          <w:color w:val="auto"/>
          <w:sz w:val="20"/>
          <w:szCs w:val="21"/>
          <w:highlight w:val="none"/>
        </w:rPr>
      </w:pPr>
      <w:r>
        <w:rPr>
          <w:color w:val="auto"/>
          <w:sz w:val="20"/>
          <w:szCs w:val="21"/>
          <w:highlight w:val="none"/>
        </w:rPr>
      </w:r>
      <w:r/>
    </w:p>
    <w:p>
      <w:pPr>
        <w:ind w:firstLine="400"/>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附件二、无重大违法记录声明格式</w:t>
      </w:r>
      <w:r/>
    </w:p>
    <w:p>
      <w:pPr>
        <w:ind w:right="87"/>
        <w:jc w:val="center"/>
        <w:spacing w:line="360" w:lineRule="auto"/>
        <w:rPr>
          <w:b/>
          <w:bCs/>
          <w:color w:val="auto"/>
          <w:sz w:val="36"/>
          <w:highlight w:val="none"/>
        </w:rPr>
      </w:pPr>
      <w:r>
        <w:rPr>
          <w:b/>
          <w:bCs/>
          <w:color w:val="auto"/>
          <w:sz w:val="36"/>
          <w:highlight w:val="none"/>
        </w:rPr>
        <w:t xml:space="preserve">无重大违法记录声明</w:t>
      </w:r>
      <w:r/>
    </w:p>
    <w:p>
      <w:pPr>
        <w:ind w:left="223"/>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firstLine="420"/>
        <w:spacing w:line="360" w:lineRule="auto"/>
        <w:rPr>
          <w:color w:val="auto"/>
          <w:sz w:val="21"/>
          <w:szCs w:val="21"/>
          <w:highlight w:val="none"/>
        </w:rPr>
      </w:pPr>
      <w:r>
        <w:rPr>
          <w:color w:val="auto"/>
          <w:sz w:val="21"/>
          <w:szCs w:val="21"/>
          <w:highlight w:val="none"/>
        </w:rPr>
        <w:t xml:space="preserve">我单位（供应商名称）郑重声明：</w:t>
      </w:r>
      <w:r/>
    </w:p>
    <w:p>
      <w:pPr>
        <w:ind w:firstLine="420"/>
        <w:spacing w:line="360" w:lineRule="auto"/>
        <w:rPr>
          <w:color w:val="auto"/>
          <w:sz w:val="21"/>
          <w:szCs w:val="21"/>
          <w:highlight w:val="none"/>
        </w:rPr>
      </w:pPr>
      <w:r>
        <w:rPr>
          <w:color w:val="auto"/>
          <w:sz w:val="21"/>
          <w:szCs w:val="21"/>
          <w:highlight w:val="none"/>
        </w:rPr>
        <w:t xml:space="preserve">参加政府采购活动前 3 年内在经营活动中（在下划线上如实填写：有或没有）重大违法记录。</w:t>
      </w:r>
      <w:r/>
    </w:p>
    <w:p>
      <w:pPr>
        <w:ind w:firstLine="420"/>
        <w:spacing w:line="360" w:lineRule="auto"/>
        <w:rPr>
          <w:color w:val="auto"/>
          <w:sz w:val="21"/>
          <w:szCs w:val="21"/>
          <w:highlight w:val="none"/>
        </w:rPr>
      </w:pPr>
      <w:r>
        <w:rPr>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tabs>
          <w:tab w:val="left" w:pos="5894" w:leader="none"/>
        </w:tabs>
        <w:rPr>
          <w:color w:val="auto"/>
          <w:sz w:val="21"/>
          <w:szCs w:val="21"/>
          <w:highlight w:val="none"/>
        </w:rPr>
      </w:pPr>
      <w:r>
        <w:rPr>
          <w:color w:val="auto"/>
          <w:sz w:val="21"/>
          <w:szCs w:val="21"/>
          <w:highlight w:val="none"/>
        </w:rPr>
        <w:t xml:space="preserve">日期：年月日</w:t>
      </w:r>
      <w:r/>
    </w:p>
    <w:p>
      <w:pPr>
        <w:spacing w:line="360" w:lineRule="auto"/>
        <w:rPr>
          <w:color w:val="auto"/>
          <w:highlight w:val="none"/>
        </w:rPr>
      </w:pPr>
      <w:r>
        <w:rPr>
          <w:color w:val="auto"/>
          <w:highlight w:val="none"/>
        </w:rPr>
      </w:r>
      <w:r/>
    </w:p>
    <w:p>
      <w:pPr>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三</w:t>
      </w:r>
      <w:r>
        <w:rPr>
          <w:b/>
          <w:color w:val="auto"/>
          <w:sz w:val="21"/>
          <w:highlight w:val="none"/>
        </w:rPr>
        <w:t xml:space="preserve">、具备履行合同所必需的设备和专业技术能力的声明格式及证明材料</w:t>
      </w:r>
      <w:r/>
    </w:p>
    <w:p>
      <w:pPr>
        <w:jc w:val="center"/>
        <w:spacing w:line="360" w:lineRule="auto"/>
        <w:rPr>
          <w:b/>
          <w:bCs/>
          <w:color w:val="auto"/>
          <w:sz w:val="36"/>
          <w:highlight w:val="none"/>
        </w:rPr>
      </w:pPr>
      <w:r>
        <w:rPr>
          <w:b/>
          <w:bCs/>
          <w:color w:val="auto"/>
          <w:sz w:val="36"/>
          <w:highlight w:val="none"/>
        </w:rPr>
        <w:t xml:space="preserve">具备履行合同所必需的设备和专业技术能力的声明</w:t>
      </w:r>
      <w:r/>
    </w:p>
    <w:p>
      <w:pPr>
        <w:ind w:left="223"/>
        <w:spacing w:line="360" w:lineRule="auto"/>
        <w:rPr>
          <w:color w:val="auto"/>
          <w:sz w:val="21"/>
          <w:szCs w:val="21"/>
          <w:highlight w:val="none"/>
        </w:rPr>
      </w:pPr>
      <w:r>
        <w:rPr>
          <w:rFonts w:hint="eastAsia"/>
          <w:color w:val="auto"/>
          <w:sz w:val="21"/>
          <w:szCs w:val="21"/>
          <w:highlight w:val="none"/>
        </w:rPr>
        <w:t xml:space="preserve">江苏开放大学</w:t>
      </w:r>
      <w:r>
        <w:rPr>
          <w:color w:val="auto"/>
          <w:sz w:val="21"/>
          <w:szCs w:val="21"/>
          <w:highlight w:val="none"/>
        </w:rPr>
        <w:t xml:space="preserve">：</w:t>
      </w:r>
      <w:r/>
    </w:p>
    <w:p>
      <w:pPr>
        <w:ind w:left="223" w:right="315" w:firstLine="492"/>
        <w:spacing w:line="360" w:lineRule="auto"/>
        <w:rPr>
          <w:color w:val="auto"/>
          <w:sz w:val="21"/>
          <w:szCs w:val="21"/>
          <w:highlight w:val="none"/>
        </w:rPr>
      </w:pPr>
      <w:r>
        <w:rPr>
          <w:color w:val="auto"/>
          <w:sz w:val="21"/>
          <w:szCs w:val="21"/>
          <w:highlight w:val="none"/>
        </w:rPr>
        <w:t xml:space="preserve">我单位（供应商名称）郑重声明：</w:t>
      </w:r>
      <w:r/>
    </w:p>
    <w:p>
      <w:pPr>
        <w:ind w:left="223" w:right="315" w:firstLine="492"/>
        <w:spacing w:line="360" w:lineRule="auto"/>
        <w:rPr>
          <w:color w:val="auto"/>
          <w:sz w:val="21"/>
          <w:szCs w:val="21"/>
          <w:highlight w:val="none"/>
        </w:rPr>
      </w:pPr>
      <w:r>
        <w:rPr>
          <w:color w:val="auto"/>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auto"/>
          <w:sz w:val="21"/>
          <w:szCs w:val="21"/>
          <w:highlight w:val="none"/>
        </w:rPr>
      </w:pPr>
      <w:r>
        <w:rPr>
          <w:color w:val="auto"/>
          <w:sz w:val="21"/>
          <w:szCs w:val="21"/>
          <w:highlight w:val="none"/>
        </w:rPr>
        <w:t xml:space="preserve">主要设备有：。(若有)</w:t>
      </w:r>
      <w:r/>
    </w:p>
    <w:p>
      <w:pPr>
        <w:ind w:left="715"/>
        <w:spacing w:line="360" w:lineRule="auto"/>
        <w:rPr>
          <w:color w:val="auto"/>
          <w:sz w:val="21"/>
          <w:szCs w:val="21"/>
          <w:highlight w:val="none"/>
        </w:rPr>
      </w:pPr>
      <w:r>
        <w:rPr>
          <w:color w:val="auto"/>
          <w:sz w:val="21"/>
          <w:szCs w:val="21"/>
          <w:highlight w:val="none"/>
        </w:rPr>
        <w:t xml:space="preserve">主要专业技术能力有：。(若有)</w:t>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rPr>
          <w:color w:val="auto"/>
          <w:sz w:val="21"/>
          <w:szCs w:val="21"/>
          <w:highlight w:val="none"/>
        </w:rPr>
      </w:pPr>
      <w:r>
        <w:rPr>
          <w:color w:val="auto"/>
          <w:sz w:val="21"/>
          <w:szCs w:val="21"/>
          <w:highlight w:val="none"/>
        </w:rPr>
        <w:t xml:space="preserve">日期：年月日</w:t>
      </w:r>
      <w:r/>
    </w:p>
    <w:p>
      <w:pPr>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ind w:right="330"/>
        <w:spacing w:line="360" w:lineRule="auto"/>
        <w:tabs>
          <w:tab w:val="left" w:pos="5940" w:leader="none"/>
        </w:tabs>
        <w:rPr>
          <w:b/>
          <w:color w:val="auto"/>
          <w:sz w:val="21"/>
          <w:highlight w:val="none"/>
        </w:rPr>
      </w:pPr>
      <w:r>
        <w:rPr>
          <w:b/>
          <w:color w:val="auto"/>
          <w:sz w:val="21"/>
          <w:highlight w:val="none"/>
        </w:rPr>
        <w:t xml:space="preserve">附件</w:t>
      </w:r>
      <w:r>
        <w:rPr>
          <w:rFonts w:hint="eastAsia"/>
          <w:b/>
          <w:color w:val="auto"/>
          <w:sz w:val="21"/>
          <w:highlight w:val="none"/>
        </w:rPr>
        <w:t xml:space="preserve">四</w:t>
      </w:r>
      <w:r>
        <w:rPr>
          <w:b/>
          <w:color w:val="auto"/>
          <w:sz w:val="21"/>
          <w:highlight w:val="none"/>
        </w:rPr>
        <w:t xml:space="preserve">、残疾人福利性单位声明函格式</w:t>
      </w:r>
      <w:r/>
    </w:p>
    <w:p>
      <w:pPr>
        <w:spacing w:line="360" w:lineRule="auto"/>
        <w:rPr>
          <w:b/>
          <w:color w:val="auto"/>
          <w:sz w:val="20"/>
          <w:szCs w:val="21"/>
          <w:highlight w:val="none"/>
        </w:rPr>
      </w:pPr>
      <w:r>
        <w:rPr>
          <w:b/>
          <w:color w:val="auto"/>
          <w:sz w:val="20"/>
          <w:szCs w:val="21"/>
          <w:highlight w:val="none"/>
        </w:rPr>
      </w:r>
      <w:r/>
    </w:p>
    <w:p>
      <w:pPr>
        <w:jc w:val="center"/>
        <w:spacing w:line="360" w:lineRule="auto"/>
        <w:rPr>
          <w:b/>
          <w:color w:val="auto"/>
          <w:sz w:val="24"/>
          <w:highlight w:val="none"/>
        </w:rPr>
      </w:pPr>
      <w:r/>
      <w:bookmarkStart w:id="63" w:name="残疾人福利性单位声明函"/>
      <w:r/>
      <w:bookmarkEnd w:id="63"/>
      <w:r>
        <w:rPr>
          <w:b/>
          <w:color w:val="auto"/>
          <w:sz w:val="24"/>
          <w:highlight w:val="none"/>
        </w:rPr>
        <w:t xml:space="preserve">残疾人福利性单位声明函</w:t>
      </w:r>
      <w:r/>
    </w:p>
    <w:p>
      <w:pPr>
        <w:spacing w:line="360" w:lineRule="auto"/>
        <w:rPr>
          <w:b/>
          <w:color w:val="auto"/>
          <w:sz w:val="24"/>
          <w:szCs w:val="21"/>
          <w:highlight w:val="none"/>
        </w:rPr>
      </w:pPr>
      <w:r>
        <w:rPr>
          <w:b/>
          <w:color w:val="auto"/>
          <w:sz w:val="24"/>
          <w:szCs w:val="21"/>
          <w:highlight w:val="none"/>
        </w:rPr>
      </w:r>
      <w:r/>
    </w:p>
    <w:p>
      <w:pPr>
        <w:spacing w:line="360" w:lineRule="auto"/>
        <w:rPr>
          <w:b/>
          <w:color w:val="auto"/>
          <w:szCs w:val="21"/>
          <w:highlight w:val="none"/>
        </w:rPr>
      </w:pPr>
      <w:r>
        <w:rPr>
          <w:b/>
          <w:color w:val="auto"/>
          <w:szCs w:val="21"/>
          <w:highlight w:val="none"/>
        </w:rPr>
      </w:r>
      <w:r/>
    </w:p>
    <w:p>
      <w:pPr>
        <w:ind w:firstLine="420"/>
        <w:spacing w:line="360" w:lineRule="auto"/>
        <w:rPr>
          <w:color w:val="auto"/>
          <w:sz w:val="21"/>
          <w:szCs w:val="21"/>
          <w:highlight w:val="none"/>
        </w:rPr>
      </w:pPr>
      <w:r>
        <w:rPr>
          <w:color w:val="auto"/>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auto"/>
          <w:sz w:val="21"/>
          <w:szCs w:val="21"/>
          <w:highlight w:val="none"/>
        </w:rPr>
      </w:pPr>
      <w:r>
        <w:rPr>
          <w:color w:val="auto"/>
          <w:sz w:val="21"/>
          <w:szCs w:val="21"/>
          <w:highlight w:val="none"/>
        </w:rPr>
        <w:t xml:space="preserve">本单位对上述声明的真实性负责。如有虚假，将依法承担相应责任。</w:t>
      </w:r>
      <w:r/>
    </w:p>
    <w:p>
      <w:pPr>
        <w:ind w:left="223" w:right="315" w:firstLine="492"/>
        <w:spacing w:line="360" w:lineRule="auto"/>
        <w:rPr>
          <w:color w:val="auto"/>
          <w:sz w:val="21"/>
          <w:szCs w:val="21"/>
          <w:highlight w:val="none"/>
        </w:rPr>
      </w:pPr>
      <w:r>
        <w:rPr>
          <w:color w:val="auto"/>
          <w:sz w:val="21"/>
          <w:szCs w:val="21"/>
          <w:highlight w:val="none"/>
        </w:rPr>
      </w:r>
      <w:r/>
    </w:p>
    <w:p>
      <w:pPr>
        <w:ind w:left="223" w:right="315" w:firstLine="492"/>
        <w:spacing w:line="360" w:lineRule="auto"/>
        <w:rPr>
          <w:color w:val="auto"/>
          <w:sz w:val="21"/>
          <w:szCs w:val="21"/>
          <w:highlight w:val="none"/>
        </w:rPr>
      </w:pPr>
      <w:r>
        <w:rPr>
          <w:color w:val="auto"/>
          <w:sz w:val="21"/>
          <w:szCs w:val="21"/>
          <w:highlight w:val="none"/>
        </w:rPr>
      </w:r>
      <w:r/>
    </w:p>
    <w:p>
      <w:pPr>
        <w:ind w:left="5500"/>
        <w:spacing w:line="360" w:lineRule="auto"/>
        <w:rPr>
          <w:color w:val="auto"/>
          <w:sz w:val="21"/>
          <w:szCs w:val="21"/>
          <w:highlight w:val="none"/>
        </w:rPr>
      </w:pPr>
      <w:r>
        <w:rPr>
          <w:color w:val="auto"/>
          <w:sz w:val="21"/>
          <w:szCs w:val="21"/>
          <w:highlight w:val="none"/>
        </w:rPr>
        <w:t xml:space="preserve">单位名称（盖章）：</w:t>
      </w:r>
      <w:r/>
    </w:p>
    <w:p>
      <w:pPr>
        <w:ind w:left="5500"/>
        <w:spacing w:line="360" w:lineRule="auto"/>
        <w:rPr>
          <w:color w:val="auto"/>
          <w:sz w:val="21"/>
          <w:szCs w:val="21"/>
          <w:highlight w:val="none"/>
        </w:rPr>
      </w:pPr>
      <w:r>
        <w:rPr>
          <w:color w:val="auto"/>
          <w:sz w:val="21"/>
          <w:szCs w:val="21"/>
          <w:highlight w:val="none"/>
        </w:rPr>
        <w:t xml:space="preserve">日期：年月</w:t>
      </w:r>
      <w:bookmarkStart w:id="64" w:name="附件五、属于监狱企业的证明文件"/>
      <w:r/>
      <w:bookmarkEnd w:id="64"/>
      <w:r/>
      <w:r/>
    </w:p>
    <w:p>
      <w:pPr>
        <w:ind w:right="550"/>
        <w:jc w:val="both"/>
        <w:spacing w:line="360" w:lineRule="auto"/>
        <w:rPr>
          <w:b/>
          <w:color w:val="auto"/>
          <w:sz w:val="21"/>
          <w:highlight w:val="none"/>
        </w:rPr>
      </w:pPr>
      <w:r>
        <w:rPr>
          <w:b/>
          <w:color w:val="auto"/>
          <w:sz w:val="21"/>
          <w:highlight w:val="none"/>
        </w:rPr>
      </w:r>
      <w:r/>
    </w:p>
    <w:p>
      <w:pPr>
        <w:ind w:right="550"/>
        <w:jc w:val="both"/>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五</w:t>
      </w:r>
      <w:r>
        <w:rPr>
          <w:b/>
          <w:color w:val="auto"/>
          <w:sz w:val="21"/>
          <w:highlight w:val="none"/>
        </w:rPr>
        <w:t xml:space="preserve">、属于监狱企业的证明文件</w:t>
      </w:r>
      <w:r/>
    </w:p>
    <w:p>
      <w:pPr>
        <w:spacing w:line="360" w:lineRule="auto"/>
        <w:rPr>
          <w:b/>
          <w:color w:val="auto"/>
          <w:sz w:val="20"/>
          <w:szCs w:val="21"/>
          <w:highlight w:val="none"/>
        </w:rPr>
      </w:pPr>
      <w:r>
        <w:rPr>
          <w:b/>
          <w:color w:val="auto"/>
          <w:sz w:val="20"/>
          <w:szCs w:val="21"/>
          <w:highlight w:val="none"/>
        </w:rPr>
      </w:r>
      <w:r/>
    </w:p>
    <w:p>
      <w:pPr>
        <w:spacing w:line="360" w:lineRule="auto"/>
        <w:rPr>
          <w:rFonts w:ascii="黑体" w:eastAsia="黑体"/>
          <w:color w:val="auto"/>
          <w:sz w:val="36"/>
          <w:highlight w:val="none"/>
        </w:rPr>
      </w:pPr>
      <w:r>
        <w:rPr>
          <w:color w:val="auto"/>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auto"/>
          <w:sz w:val="28"/>
          <w:szCs w:val="28"/>
          <w:highlight w:val="none"/>
        </w:rPr>
      </w:pPr>
      <w:r/>
      <w:bookmarkStart w:id="65" w:name="OLE_LINK31"/>
      <w:r/>
      <w:r/>
    </w:p>
    <w:p>
      <w:pPr>
        <w:spacing w:line="360" w:lineRule="auto"/>
        <w:rPr>
          <w:b/>
          <w:color w:val="auto"/>
          <w:sz w:val="21"/>
          <w:highlight w:val="none"/>
        </w:rPr>
      </w:pPr>
      <w:r>
        <w:rPr>
          <w:b/>
          <w:color w:val="auto"/>
          <w:sz w:val="21"/>
          <w:highlight w:val="none"/>
        </w:rPr>
      </w:r>
      <w:r/>
    </w:p>
    <w:p>
      <w:pPr>
        <w:pStyle w:val="888"/>
        <w:ind w:left="1320"/>
        <w:rPr>
          <w:color w:val="auto"/>
          <w:highlight w:val="none"/>
        </w:rPr>
      </w:pPr>
      <w:r>
        <w:rPr>
          <w:color w:val="auto"/>
          <w:highlight w:val="none"/>
        </w:rPr>
      </w:r>
      <w:r/>
    </w:p>
    <w:p>
      <w:pPr>
        <w:rPr>
          <w:color w:val="auto"/>
          <w:highlight w:val="none"/>
        </w:rPr>
      </w:pPr>
      <w:r>
        <w:rPr>
          <w:color w:val="auto"/>
          <w:highlight w:val="none"/>
        </w:rPr>
      </w:r>
      <w:r/>
    </w:p>
    <w:p>
      <w:pPr>
        <w:pStyle w:val="888"/>
        <w:ind w:left="1320"/>
        <w:rPr>
          <w:color w:val="auto"/>
          <w:highlight w:val="none"/>
        </w:rPr>
      </w:pPr>
      <w:r>
        <w:rPr>
          <w:color w:val="auto"/>
          <w:highlight w:val="none"/>
        </w:rPr>
      </w:r>
      <w:r/>
    </w:p>
    <w:p>
      <w:pPr>
        <w:rPr>
          <w:color w:val="auto"/>
          <w:highlight w:val="none"/>
        </w:rPr>
      </w:pPr>
      <w:r>
        <w:rPr>
          <w:color w:val="auto"/>
          <w:highlight w:val="none"/>
        </w:rPr>
      </w:r>
      <w:r/>
    </w:p>
    <w:p>
      <w:pPr>
        <w:pStyle w:val="888"/>
        <w:ind w:left="1320"/>
        <w:rPr>
          <w:color w:val="auto"/>
          <w:highlight w:val="none"/>
        </w:rPr>
      </w:pPr>
      <w:r>
        <w:rPr>
          <w:color w:val="auto"/>
          <w:highlight w:val="none"/>
        </w:rPr>
      </w:r>
      <w:r/>
    </w:p>
    <w:p>
      <w:pPr>
        <w:rPr>
          <w:color w:val="auto"/>
          <w:highlight w:val="none"/>
        </w:rPr>
      </w:pPr>
      <w:r>
        <w:rPr>
          <w:color w:val="auto"/>
          <w:highlight w:val="none"/>
        </w:rPr>
      </w:r>
      <w:r/>
    </w:p>
    <w:p>
      <w:pPr>
        <w:pStyle w:val="888"/>
        <w:ind w:left="1320"/>
        <w:rPr>
          <w:color w:val="auto"/>
          <w:highlight w:val="none"/>
        </w:rPr>
      </w:pPr>
      <w:r>
        <w:rPr>
          <w:color w:val="auto"/>
          <w:highlight w:val="none"/>
        </w:rPr>
      </w:r>
      <w:r/>
    </w:p>
    <w:p>
      <w:pPr>
        <w:rPr>
          <w:color w:val="auto"/>
          <w:highlight w:val="none"/>
        </w:rPr>
      </w:pPr>
      <w:r>
        <w:rPr>
          <w:color w:val="auto"/>
          <w:highlight w:val="none"/>
        </w:rPr>
      </w:r>
      <w:r/>
    </w:p>
    <w:p>
      <w:pPr>
        <w:pStyle w:val="888"/>
        <w:ind w:left="1320"/>
        <w:rPr>
          <w:color w:val="auto"/>
          <w:highlight w:val="none"/>
        </w:rPr>
      </w:pPr>
      <w:r>
        <w:rPr>
          <w:color w:val="auto"/>
          <w:highlight w:val="none"/>
        </w:rPr>
      </w:r>
      <w:r/>
    </w:p>
    <w:p>
      <w:pPr>
        <w:rPr>
          <w:color w:val="auto"/>
          <w:highlight w:val="none"/>
        </w:rPr>
      </w:pPr>
      <w:r>
        <w:rPr>
          <w:color w:val="auto"/>
          <w:highlight w:val="none"/>
        </w:rPr>
      </w:r>
      <w:r/>
    </w:p>
    <w:p>
      <w:pPr>
        <w:pStyle w:val="888"/>
        <w:ind w:left="1320"/>
        <w:rPr>
          <w:color w:val="auto"/>
          <w:highlight w:val="none"/>
        </w:rPr>
      </w:pPr>
      <w:r>
        <w:rPr>
          <w:color w:val="auto"/>
          <w:highlight w:val="none"/>
        </w:rPr>
      </w:r>
      <w:r/>
    </w:p>
    <w:p>
      <w:pPr>
        <w:rPr>
          <w:color w:val="auto"/>
          <w:highlight w:val="none"/>
        </w:rPr>
      </w:pPr>
      <w:r>
        <w:rPr>
          <w:color w:val="auto"/>
          <w:highlight w:val="none"/>
        </w:rPr>
      </w:r>
      <w:r/>
    </w:p>
    <w:p>
      <w:pPr>
        <w:pStyle w:val="888"/>
        <w:ind w:left="1320"/>
        <w:rPr>
          <w:color w:val="auto"/>
          <w:highlight w:val="none"/>
        </w:rPr>
      </w:pPr>
      <w:r>
        <w:rPr>
          <w:color w:val="auto"/>
          <w:highlight w:val="none"/>
        </w:rPr>
      </w:r>
      <w:r/>
    </w:p>
    <w:p>
      <w:pPr>
        <w:rPr>
          <w:color w:val="auto"/>
          <w:highlight w:val="none"/>
        </w:rPr>
      </w:pPr>
      <w:r>
        <w:rPr>
          <w:color w:val="auto"/>
          <w:highlight w:val="none"/>
        </w:rPr>
      </w:r>
      <w:r/>
    </w:p>
    <w:p>
      <w:pPr>
        <w:pStyle w:val="888"/>
        <w:ind w:left="1320"/>
        <w:rPr>
          <w:color w:val="auto"/>
          <w:highlight w:val="none"/>
        </w:rPr>
      </w:pPr>
      <w:r>
        <w:rPr>
          <w:color w:val="auto"/>
          <w:highlight w:val="none"/>
        </w:rPr>
      </w:r>
      <w:r/>
    </w:p>
    <w:p>
      <w:pPr>
        <w:rPr>
          <w:color w:val="auto"/>
          <w:highlight w:val="none"/>
        </w:rPr>
      </w:pPr>
      <w:r>
        <w:rPr>
          <w:color w:val="auto"/>
          <w:highlight w:val="none"/>
        </w:rPr>
      </w:r>
      <w:r/>
    </w:p>
    <w:p>
      <w:pPr>
        <w:pStyle w:val="888"/>
        <w:ind w:left="1320"/>
        <w:rPr>
          <w:color w:val="auto"/>
          <w:highlight w:val="none"/>
        </w:rPr>
      </w:pPr>
      <w:r>
        <w:rPr>
          <w:color w:val="auto"/>
          <w:highlight w:val="none"/>
        </w:rPr>
      </w:r>
      <w:r/>
    </w:p>
    <w:p>
      <w:pPr>
        <w:rPr>
          <w:color w:val="auto"/>
          <w:highlight w:val="none"/>
        </w:rPr>
      </w:pPr>
      <w:r>
        <w:rPr>
          <w:color w:val="auto"/>
          <w:highlight w:val="none"/>
        </w:rPr>
      </w:r>
      <w:r/>
    </w:p>
    <w:p>
      <w:pPr>
        <w:pStyle w:val="888"/>
        <w:ind w:left="1320"/>
        <w:rPr>
          <w:color w:val="auto"/>
          <w:highlight w:val="none"/>
        </w:rPr>
      </w:pPr>
      <w:r>
        <w:rPr>
          <w:color w:val="auto"/>
          <w:highlight w:val="none"/>
        </w:rPr>
      </w:r>
      <w:r/>
    </w:p>
    <w:p>
      <w:pPr>
        <w:pStyle w:val="888"/>
        <w:ind w:left="1320"/>
        <w:rPr>
          <w:color w:val="auto"/>
          <w:highlight w:val="none"/>
        </w:rPr>
      </w:pPr>
      <w:r>
        <w:rPr>
          <w:color w:val="auto"/>
          <w:highlight w:val="none"/>
        </w:rPr>
      </w:r>
      <w:r/>
    </w:p>
    <w:p>
      <w:pPr>
        <w:spacing w:line="360" w:lineRule="auto"/>
        <w:rPr>
          <w:b/>
          <w:color w:val="auto"/>
          <w:sz w:val="21"/>
          <w:highlight w:val="none"/>
        </w:rPr>
      </w:pPr>
      <w:r/>
      <w:bookmarkStart w:id="66" w:name="OLE_LINK23"/>
      <w:r/>
      <w:bookmarkStart w:id="67" w:name="OLE_LINK24"/>
      <w:r>
        <w:rPr>
          <w:rFonts w:hint="eastAsia"/>
          <w:b/>
          <w:color w:val="auto"/>
          <w:sz w:val="21"/>
          <w:highlight w:val="none"/>
        </w:rPr>
        <w:t xml:space="preserve">附件六、</w:t>
      </w:r>
      <w:r>
        <w:rPr>
          <w:rFonts w:hint="eastAsia"/>
          <w:b/>
          <w:color w:val="auto"/>
          <w:sz w:val="21"/>
          <w:highlight w:val="none"/>
          <w:lang w:val="en-US"/>
        </w:rPr>
        <w:t xml:space="preserve">关于</w:t>
      </w:r>
      <w:r>
        <w:rPr>
          <w:rFonts w:hint="eastAsia"/>
          <w:b/>
          <w:color w:val="auto"/>
          <w:sz w:val="21"/>
          <w:highlight w:val="none"/>
        </w:rPr>
        <w:t xml:space="preserve">符合本国产品标准的声明函</w:t>
      </w:r>
      <w:bookmarkEnd w:id="66"/>
      <w:r/>
      <w:bookmarkEnd w:id="67"/>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916"/>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auto"/>
          <w:highlight w:val="none"/>
          <w:shd w:val="clear" w:color="auto" w:fill="ffffff"/>
        </w:rPr>
        <w:t xml:space="preserve">2025</w:t>
      </w:r>
      <w:r>
        <w:rPr>
          <w:rFonts w:hint="eastAsia" w:cs="微软雅黑" w:asciiTheme="minorEastAsia" w:hAnsiTheme="minorEastAsia" w:eastAsiaTheme="minorEastAsia"/>
          <w:color w:val="auto"/>
          <w:highlight w:val="none"/>
          <w:shd w:val="clear" w:color="auto" w:fill="ffffff"/>
        </w:rPr>
        <w:t xml:space="preserve">〕</w:t>
      </w:r>
      <w:r>
        <w:rPr>
          <w:rFonts w:hint="eastAsia" w:asciiTheme="minorEastAsia" w:hAnsiTheme="minorEastAsia" w:eastAsiaTheme="minorEastAsia"/>
          <w:color w:val="auto"/>
          <w:highlight w:val="none"/>
          <w:shd w:val="clear" w:color="auto" w:fill="ffffff"/>
        </w:rPr>
        <w:t xml:space="preserve">34</w:t>
      </w:r>
      <w:r>
        <w:rPr>
          <w:rFonts w:hint="eastAsia" w:cs="微软雅黑" w:asciiTheme="minorEastAsia" w:hAnsiTheme="minorEastAsia" w:eastAsiaTheme="minorEastAsia"/>
          <w:color w:val="auto"/>
          <w:highlight w:val="none"/>
          <w:shd w:val="clear" w:color="auto" w:fill="ffffff"/>
        </w:rPr>
        <w:t xml:space="preserve">号）的规定，本公司（单位）提供的以下产品属于本国产品。具体情况如下：</w:t>
      </w:r>
      <w:r/>
    </w:p>
    <w:p>
      <w:pPr>
        <w:pStyle w:val="916"/>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1.</w:t>
      </w:r>
      <w:r>
        <w:rPr>
          <w:rStyle w:val="927"/>
          <w:rFonts w:hint="eastAsia" w:cs="微软雅黑" w:asciiTheme="minorEastAsia" w:hAnsiTheme="minorEastAsia" w:eastAsiaTheme="minorEastAsia"/>
          <w:color w:val="auto"/>
          <w:highlight w:val="none"/>
          <w:u w:val="single"/>
          <w:shd w:val="clear" w:color="auto" w:fill="ffffff"/>
        </w:rPr>
        <w:t xml:space="preserve">（产品名称</w:t>
      </w:r>
      <w:r>
        <w:rPr>
          <w:rStyle w:val="927"/>
          <w:rFonts w:hint="eastAsia" w:asciiTheme="minorEastAsia" w:hAnsiTheme="minorEastAsia" w:eastAsiaTheme="minorEastAsia"/>
          <w:color w:val="auto"/>
          <w:highlight w:val="none"/>
          <w:u w:val="single"/>
          <w:shd w:val="clear" w:color="auto" w:fill="ffffff"/>
        </w:rPr>
        <w:t xml:space="preserve">1</w:t>
      </w:r>
      <w:r>
        <w:rPr>
          <w:rStyle w:val="927"/>
          <w:rFonts w:hint="eastAsia" w:cs="微软雅黑" w:asciiTheme="minorEastAsia" w:hAnsiTheme="minorEastAsia" w:eastAsiaTheme="minorEastAsia"/>
          <w:color w:val="auto"/>
          <w:highlight w:val="none"/>
          <w:u w:val="single"/>
          <w:shd w:val="clear" w:color="auto" w:fill="ffffff"/>
        </w:rPr>
        <w:t xml:space="preserve">）</w:t>
      </w:r>
      <w:r>
        <w:rPr>
          <w:rStyle w:val="927"/>
          <w:rFonts w:hint="eastAsia" w:asciiTheme="minorEastAsia" w:hAnsiTheme="minorEastAsia" w:eastAsiaTheme="minorEastAsia"/>
          <w:color w:val="auto"/>
          <w:highlight w:val="none"/>
          <w:shd w:val="clear" w:color="auto" w:fill="ffffff"/>
          <w:vertAlign w:val="superscript"/>
        </w:rPr>
        <w:t xml:space="preserve">1</w:t>
      </w:r>
      <w:r>
        <w:rPr>
          <w:rFonts w:hint="eastAsia" w:cs="微软雅黑"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u w:val="single"/>
          <w:shd w:val="clear" w:color="auto" w:fill="ffffff"/>
        </w:rPr>
        <w:t xml:space="preserve">生产厂为</w:t>
      </w:r>
      <w:r>
        <w:rPr>
          <w:rStyle w:val="927"/>
          <w:rFonts w:hint="eastAsia" w:cs="微软雅黑" w:asciiTheme="minorEastAsia" w:hAnsiTheme="minorEastAsia" w:eastAsiaTheme="minorEastAsia"/>
          <w:color w:val="auto"/>
          <w:highlight w:val="none"/>
          <w:u w:val="single"/>
          <w:shd w:val="clear" w:color="auto" w:fill="ffffff"/>
        </w:rPr>
        <w:t xml:space="preserve">（厂名）</w:t>
      </w:r>
      <w:r>
        <w:rPr>
          <w:rStyle w:val="927"/>
          <w:rFonts w:hint="eastAsia" w:asciiTheme="minorEastAsia" w:hAnsiTheme="minorEastAsia" w:eastAsiaTheme="minorEastAsia"/>
          <w:color w:val="auto"/>
          <w:highlight w:val="none"/>
          <w:shd w:val="clear" w:color="auto" w:fill="ffffff"/>
          <w:vertAlign w:val="superscript"/>
        </w:rPr>
        <w:t xml:space="preserve">2</w:t>
      </w:r>
      <w:r>
        <w:rPr>
          <w:rFonts w:hint="eastAsia" w:cs="微软雅黑" w:asciiTheme="minorEastAsia" w:hAnsiTheme="minorEastAsia" w:eastAsiaTheme="minorEastAsia"/>
          <w:color w:val="auto"/>
          <w:highlight w:val="none"/>
          <w:shd w:val="clear" w:color="auto" w:fill="ffffff"/>
        </w:rPr>
        <w:t xml:space="preserve">，厂址为</w:t>
      </w:r>
      <w:r>
        <w:rPr>
          <w:rStyle w:val="927"/>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927"/>
          <w:rFonts w:hint="eastAsia" w:cs="微软雅黑" w:asciiTheme="minorEastAsia" w:hAnsiTheme="minorEastAsia" w:eastAsiaTheme="minorEastAsia"/>
          <w:strike/>
          <w:color w:val="auto"/>
          <w:highlight w:val="none"/>
          <w:u w:val="single"/>
          <w:shd w:val="clear" w:color="auto" w:fill="ffffff"/>
        </w:rPr>
        <w:t xml:space="preserve">（产品名称</w:t>
      </w:r>
      <w:r>
        <w:rPr>
          <w:rStyle w:val="927"/>
          <w:rFonts w:hint="eastAsia" w:asciiTheme="minorEastAsia" w:hAnsiTheme="minorEastAsia" w:eastAsiaTheme="minorEastAsia"/>
          <w:strike/>
          <w:color w:val="auto"/>
          <w:highlight w:val="none"/>
          <w:u w:val="single"/>
          <w:shd w:val="clear" w:color="auto" w:fill="ffffff"/>
        </w:rPr>
        <w:t xml:space="preserve">1</w:t>
      </w:r>
      <w:r>
        <w:rPr>
          <w:rStyle w:val="927"/>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927"/>
          <w:rFonts w:hint="eastAsia" w:cs="微软雅黑" w:asciiTheme="minorEastAsia" w:hAnsiTheme="minorEastAsia" w:eastAsiaTheme="minorEastAsia"/>
          <w:strike/>
          <w:color w:val="auto"/>
          <w:highlight w:val="none"/>
          <w:u w:val="single"/>
          <w:shd w:val="clear" w:color="auto" w:fill="ffffff"/>
        </w:rPr>
        <w:t xml:space="preserve">（规定比例）</w:t>
      </w:r>
      <w:r>
        <w:rPr>
          <w:rStyle w:val="927"/>
          <w:rFonts w:hint="eastAsia" w:asciiTheme="minorEastAsia" w:hAnsiTheme="minorEastAsia" w:eastAsiaTheme="minorEastAsia"/>
          <w:color w:val="auto"/>
          <w:highlight w:val="none"/>
          <w:shd w:val="clear" w:color="auto" w:fill="ffffff"/>
          <w:vertAlign w:val="superscript"/>
        </w:rPr>
        <w:t xml:space="preserve">3</w:t>
      </w:r>
      <w:r>
        <w:rPr>
          <w:rFonts w:hint="eastAsia" w:cs="微软雅黑" w:asciiTheme="minorEastAsia" w:hAnsiTheme="minorEastAsia" w:eastAsiaTheme="minorEastAsia"/>
          <w:strike/>
          <w:color w:val="auto"/>
          <w:highlight w:val="none"/>
          <w:shd w:val="clear" w:color="auto" w:fill="ffffff"/>
        </w:rPr>
        <w:t xml:space="preserve">。</w:t>
      </w:r>
      <w:r>
        <w:rPr>
          <w:rStyle w:val="927"/>
          <w:rFonts w:hint="eastAsia" w:cs="微软雅黑" w:asciiTheme="minorEastAsia" w:hAnsiTheme="minorEastAsia" w:eastAsiaTheme="minorEastAsia"/>
          <w:strike/>
          <w:color w:val="auto"/>
          <w:highlight w:val="none"/>
          <w:u w:val="single"/>
          <w:shd w:val="clear" w:color="auto" w:fill="ffffff"/>
        </w:rPr>
        <w:t xml:space="preserve">（产品名称</w:t>
      </w:r>
      <w:r>
        <w:rPr>
          <w:rStyle w:val="927"/>
          <w:rFonts w:hint="eastAsia" w:asciiTheme="minorEastAsia" w:hAnsiTheme="minorEastAsia" w:eastAsiaTheme="minorEastAsia"/>
          <w:strike/>
          <w:color w:val="auto"/>
          <w:highlight w:val="none"/>
          <w:u w:val="single"/>
          <w:shd w:val="clear" w:color="auto" w:fill="ffffff"/>
        </w:rPr>
        <w:t xml:space="preserve">1</w:t>
      </w:r>
      <w:r>
        <w:rPr>
          <w:rStyle w:val="927"/>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27"/>
          <w:rFonts w:hint="eastAsia" w:cs="微软雅黑" w:asciiTheme="minorEastAsia" w:hAnsiTheme="minorEastAsia" w:eastAsiaTheme="minorEastAsia"/>
          <w:strike/>
          <w:color w:val="auto"/>
          <w:highlight w:val="none"/>
          <w:u w:val="single"/>
          <w:shd w:val="clear" w:color="auto" w:fill="ffffff"/>
        </w:rPr>
        <w:t xml:space="preserve">（关键组件）</w:t>
      </w:r>
      <w:r>
        <w:rPr>
          <w:rStyle w:val="927"/>
          <w:rFonts w:hint="eastAsia" w:asciiTheme="minorEastAsia" w:hAnsiTheme="minorEastAsia" w:eastAsiaTheme="minorEastAsia"/>
          <w:color w:val="auto"/>
          <w:highlight w:val="none"/>
          <w:shd w:val="clear" w:color="auto" w:fill="ffffff"/>
          <w:vertAlign w:val="superscript"/>
        </w:rPr>
        <w:t xml:space="preserve">4</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927"/>
          <w:rFonts w:hint="eastAsia" w:cs="微软雅黑" w:asciiTheme="minorEastAsia" w:hAnsiTheme="minorEastAsia" w:eastAsiaTheme="minorEastAsia"/>
          <w:strike/>
          <w:color w:val="auto"/>
          <w:highlight w:val="none"/>
          <w:u w:val="single"/>
          <w:shd w:val="clear" w:color="auto" w:fill="ffffff"/>
        </w:rPr>
        <w:t xml:space="preserve">（产品名称</w:t>
      </w:r>
      <w:r>
        <w:rPr>
          <w:rStyle w:val="927"/>
          <w:rFonts w:hint="eastAsia" w:asciiTheme="minorEastAsia" w:hAnsiTheme="minorEastAsia" w:eastAsiaTheme="minorEastAsia"/>
          <w:strike/>
          <w:color w:val="auto"/>
          <w:highlight w:val="none"/>
          <w:u w:val="single"/>
          <w:shd w:val="clear" w:color="auto" w:fill="ffffff"/>
        </w:rPr>
        <w:t xml:space="preserve">1</w:t>
      </w:r>
      <w:r>
        <w:rPr>
          <w:rStyle w:val="927"/>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27"/>
          <w:rFonts w:hint="eastAsia" w:cs="微软雅黑" w:asciiTheme="minorEastAsia" w:hAnsiTheme="minorEastAsia" w:eastAsiaTheme="minorEastAsia"/>
          <w:strike/>
          <w:color w:val="auto"/>
          <w:highlight w:val="none"/>
          <w:u w:val="single"/>
          <w:shd w:val="clear" w:color="auto" w:fill="ffffff"/>
        </w:rPr>
        <w:t xml:space="preserve">（关键工序）</w:t>
      </w:r>
      <w:r>
        <w:rPr>
          <w:rStyle w:val="927"/>
          <w:rFonts w:hint="eastAsia" w:asciiTheme="minorEastAsia" w:hAnsiTheme="minorEastAsia" w:eastAsiaTheme="minorEastAsia"/>
          <w:color w:val="auto"/>
          <w:highlight w:val="none"/>
          <w:shd w:val="clear" w:color="auto" w:fill="ffffff"/>
          <w:vertAlign w:val="superscript"/>
        </w:rPr>
        <w:t xml:space="preserve">5</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916"/>
        <w:ind w:firstLine="420"/>
        <w:spacing w:before="24" w:beforeAutospacing="0" w:after="24" w:afterAutospacing="0" w:line="360" w:lineRule="auto"/>
        <w:shd w:val="clear" w:color="auto" w:fill="ffffff"/>
        <w:rPr>
          <w:rFonts w:asciiTheme="minorEastAsia" w:hAnsiTheme="minorEastAsia" w:eastAsiaTheme="minorEastAsia"/>
          <w:strike/>
          <w:color w:val="auto"/>
          <w:highlight w:val="none"/>
        </w:rPr>
      </w:pPr>
      <w:r>
        <w:rPr>
          <w:rFonts w:hint="eastAsia" w:asciiTheme="minorEastAsia" w:hAnsiTheme="minorEastAsia" w:eastAsiaTheme="minorEastAsia"/>
          <w:color w:val="auto"/>
          <w:highlight w:val="none"/>
          <w:shd w:val="clear" w:color="auto" w:fill="ffffff"/>
        </w:rPr>
        <w:t xml:space="preserve">2.</w:t>
      </w:r>
      <w:r>
        <w:rPr>
          <w:rStyle w:val="927"/>
          <w:rFonts w:hint="eastAsia" w:cs="微软雅黑" w:asciiTheme="minorEastAsia" w:hAnsiTheme="minorEastAsia" w:eastAsiaTheme="minorEastAsia"/>
          <w:color w:val="auto"/>
          <w:highlight w:val="none"/>
          <w:u w:val="single"/>
          <w:shd w:val="clear" w:color="auto" w:fill="ffffff"/>
        </w:rPr>
        <w:t xml:space="preserve">（产品名称</w:t>
      </w:r>
      <w:r>
        <w:rPr>
          <w:rStyle w:val="927"/>
          <w:rFonts w:hint="eastAsia" w:asciiTheme="minorEastAsia" w:hAnsiTheme="minorEastAsia" w:eastAsiaTheme="minorEastAsia"/>
          <w:color w:val="auto"/>
          <w:highlight w:val="none"/>
          <w:u w:val="single"/>
          <w:shd w:val="clear" w:color="auto" w:fill="ffffff"/>
        </w:rPr>
        <w:t xml:space="preserve">2</w:t>
      </w:r>
      <w:r>
        <w:rPr>
          <w:rStyle w:val="927"/>
          <w:rFonts w:hint="eastAsia" w:cs="微软雅黑" w:asciiTheme="minorEastAsia" w:hAnsiTheme="minorEastAsia" w:eastAsiaTheme="minorEastAsia"/>
          <w:color w:val="auto"/>
          <w:highlight w:val="none"/>
          <w:u w:val="singl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，生产厂为</w:t>
      </w:r>
      <w:r>
        <w:rPr>
          <w:rStyle w:val="927"/>
          <w:rFonts w:hint="eastAsia" w:cs="微软雅黑" w:asciiTheme="minorEastAsia" w:hAnsiTheme="minorEastAsia" w:eastAsiaTheme="minorEastAsia"/>
          <w:color w:val="auto"/>
          <w:highlight w:val="none"/>
          <w:u w:val="single"/>
          <w:shd w:val="clear" w:color="auto" w:fill="ffffff"/>
        </w:rPr>
        <w:t xml:space="preserve">（厂名）</w:t>
      </w:r>
      <w:r>
        <w:rPr>
          <w:rFonts w:hint="eastAsia" w:cs="微软雅黑" w:asciiTheme="minorEastAsia" w:hAnsiTheme="minorEastAsia" w:eastAsiaTheme="minorEastAsia"/>
          <w:color w:val="auto"/>
          <w:highlight w:val="none"/>
          <w:shd w:val="clear" w:color="auto" w:fill="ffffff"/>
        </w:rPr>
        <w:t xml:space="preserve">，厂址为</w:t>
      </w:r>
      <w:r>
        <w:rPr>
          <w:rStyle w:val="927"/>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927"/>
          <w:rFonts w:hint="eastAsia" w:cs="微软雅黑" w:asciiTheme="minorEastAsia" w:hAnsiTheme="minorEastAsia" w:eastAsiaTheme="minorEastAsia"/>
          <w:strike/>
          <w:color w:val="auto"/>
          <w:highlight w:val="none"/>
          <w:u w:val="single"/>
          <w:shd w:val="clear" w:color="auto" w:fill="ffffff"/>
        </w:rPr>
        <w:t xml:space="preserve">（产品名称</w:t>
      </w:r>
      <w:r>
        <w:rPr>
          <w:rStyle w:val="927"/>
          <w:rFonts w:hint="eastAsia" w:asciiTheme="minorEastAsia" w:hAnsiTheme="minorEastAsia" w:eastAsiaTheme="minorEastAsia"/>
          <w:strike/>
          <w:color w:val="auto"/>
          <w:highlight w:val="none"/>
          <w:u w:val="single"/>
          <w:shd w:val="clear" w:color="auto" w:fill="ffffff"/>
        </w:rPr>
        <w:t xml:space="preserve">2</w:t>
      </w:r>
      <w:r>
        <w:rPr>
          <w:rStyle w:val="927"/>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927"/>
          <w:rFonts w:hint="eastAsia" w:cs="微软雅黑" w:asciiTheme="minorEastAsia" w:hAnsiTheme="minorEastAsia" w:eastAsiaTheme="minorEastAsia"/>
          <w:strike/>
          <w:color w:val="auto"/>
          <w:highlight w:val="none"/>
          <w:u w:val="single"/>
          <w:shd w:val="clear" w:color="auto" w:fill="ffffff"/>
        </w:rPr>
        <w:t xml:space="preserve">（规定比例）</w:t>
      </w:r>
      <w:r>
        <w:rPr>
          <w:rFonts w:hint="eastAsia" w:cs="微软雅黑" w:asciiTheme="minorEastAsia" w:hAnsiTheme="minorEastAsia" w:eastAsiaTheme="minorEastAsia"/>
          <w:strike/>
          <w:color w:val="auto"/>
          <w:highlight w:val="none"/>
          <w:shd w:val="clear" w:color="auto" w:fill="ffffff"/>
        </w:rPr>
        <w:t xml:space="preserve">。</w:t>
      </w:r>
      <w:r>
        <w:rPr>
          <w:rStyle w:val="927"/>
          <w:rFonts w:hint="eastAsia" w:cs="微软雅黑" w:asciiTheme="minorEastAsia" w:hAnsiTheme="minorEastAsia" w:eastAsiaTheme="minorEastAsia"/>
          <w:strike/>
          <w:color w:val="auto"/>
          <w:highlight w:val="none"/>
          <w:u w:val="single"/>
          <w:shd w:val="clear" w:color="auto" w:fill="ffffff"/>
        </w:rPr>
        <w:t xml:space="preserve">（产品名称</w:t>
      </w:r>
      <w:r>
        <w:rPr>
          <w:rStyle w:val="927"/>
          <w:rFonts w:hint="eastAsia" w:asciiTheme="minorEastAsia" w:hAnsiTheme="minorEastAsia" w:eastAsiaTheme="minorEastAsia"/>
          <w:strike/>
          <w:color w:val="auto"/>
          <w:highlight w:val="none"/>
          <w:u w:val="single"/>
          <w:shd w:val="clear" w:color="auto" w:fill="ffffff"/>
        </w:rPr>
        <w:t xml:space="preserve">2</w:t>
      </w:r>
      <w:r>
        <w:rPr>
          <w:rStyle w:val="927"/>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27"/>
          <w:rFonts w:hint="eastAsia" w:cs="微软雅黑" w:asciiTheme="minorEastAsia" w:hAnsiTheme="minorEastAsia" w:eastAsiaTheme="minorEastAsia"/>
          <w:strike/>
          <w:color w:val="auto"/>
          <w:highlight w:val="none"/>
          <w:u w:val="single"/>
          <w:shd w:val="clear" w:color="auto" w:fill="ffffff"/>
        </w:rPr>
        <w:t xml:space="preserve">（关键组件）</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927"/>
          <w:rFonts w:hint="eastAsia" w:cs="微软雅黑" w:asciiTheme="minorEastAsia" w:hAnsiTheme="minorEastAsia" w:eastAsiaTheme="minorEastAsia"/>
          <w:strike/>
          <w:color w:val="auto"/>
          <w:highlight w:val="none"/>
          <w:u w:val="single"/>
          <w:shd w:val="clear" w:color="auto" w:fill="ffffff"/>
        </w:rPr>
        <w:t xml:space="preserve">（产品名称</w:t>
      </w:r>
      <w:r>
        <w:rPr>
          <w:rStyle w:val="927"/>
          <w:rFonts w:hint="eastAsia" w:asciiTheme="minorEastAsia" w:hAnsiTheme="minorEastAsia" w:eastAsiaTheme="minorEastAsia"/>
          <w:strike/>
          <w:color w:val="auto"/>
          <w:highlight w:val="none"/>
          <w:u w:val="single"/>
          <w:shd w:val="clear" w:color="auto" w:fill="ffffff"/>
        </w:rPr>
        <w:t xml:space="preserve">2</w:t>
      </w:r>
      <w:r>
        <w:rPr>
          <w:rStyle w:val="927"/>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927"/>
          <w:rFonts w:hint="eastAsia" w:cs="微软雅黑" w:asciiTheme="minorEastAsia" w:hAnsiTheme="minorEastAsia" w:eastAsiaTheme="minorEastAsia"/>
          <w:strike/>
          <w:color w:val="auto"/>
          <w:highlight w:val="none"/>
          <w:u w:val="single"/>
          <w:shd w:val="clear" w:color="auto" w:fill="ffffff"/>
        </w:rPr>
        <w:t xml:space="preserve">（关键工序）</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916"/>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asciiTheme="minorEastAsia" w:hAnsiTheme="minorEastAsia" w:eastAsiaTheme="minorEastAsia"/>
          <w:color w:val="auto"/>
          <w:highlight w:val="none"/>
          <w:shd w:val="clear" w:color="auto" w:fill="ffffff"/>
        </w:rPr>
        <w:t xml:space="preserve">……</w:t>
      </w:r>
      <w:r/>
    </w:p>
    <w:p>
      <w:pPr>
        <w:pStyle w:val="916"/>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cs="微软雅黑" w:asciiTheme="minorEastAsia" w:hAnsiTheme="minorEastAsia" w:eastAsiaTheme="minorEastAsia"/>
          <w:color w:val="auto"/>
          <w:highlight w:val="none"/>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color w:val="auto"/>
          <w:highlight w:val="none"/>
          <w:u w:val="single"/>
          <w:shd w:val="clear" w:color="auto" w:fill="ffffff"/>
        </w:rPr>
        <w:t xml:space="preserve">   </w:t>
      </w:r>
      <w:r>
        <w:rPr>
          <w:rFonts w:hint="eastAsia"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w:t>
      </w:r>
      <w:r/>
    </w:p>
    <w:p>
      <w:pPr>
        <w:pStyle w:val="916"/>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p>
    <w:p>
      <w:pPr>
        <w:pStyle w:val="916"/>
        <w:jc w:val="right"/>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公司（单位）名称（盖章）：　</w:t>
      </w:r>
      <w:r>
        <w:rPr>
          <w:rFonts w:hint="eastAsia" w:asciiTheme="minorEastAsia" w:hAnsiTheme="minorEastAsia" w:eastAsiaTheme="minorEastAsia"/>
          <w:color w:val="auto"/>
          <w:highlight w:val="none"/>
          <w:shd w:val="clear" w:color="auto" w:fill="ffffff"/>
        </w:rPr>
        <w:t xml:space="preserve">        </w:t>
      </w:r>
      <w:r/>
    </w:p>
    <w:p>
      <w:pPr>
        <w:pStyle w:val="916"/>
        <w:jc w:val="right"/>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cs="微软雅黑"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年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月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日</w:t>
      </w:r>
      <w:r>
        <w:rPr>
          <w:rFonts w:hint="eastAsia"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sz w:val="28"/>
          <w:szCs w:val="28"/>
          <w:highlight w:val="none"/>
          <w:shd w:val="clear" w:color="auto" w:fill="ffffff"/>
        </w:rPr>
        <w:t xml:space="preserve">     </w:t>
      </w:r>
      <w:r/>
    </w:p>
    <w:p>
      <w:pPr>
        <w:pStyle w:val="916"/>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shd w:val="clear" w:color="auto" w:fill="ffffff"/>
        </w:rPr>
        <w:t xml:space="preserve">__________________</w:t>
      </w:r>
      <w:r/>
    </w:p>
    <w:p>
      <w:pPr>
        <w:pStyle w:val="916"/>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1.</w:t>
      </w:r>
      <w:r>
        <w:rPr>
          <w:rFonts w:hint="eastAsia" w:cs="微软雅黑" w:asciiTheme="minorEastAsia" w:hAnsiTheme="minorEastAsia" w:eastAsiaTheme="minorEastAsia"/>
          <w:color w:val="auto"/>
          <w:sz w:val="21"/>
          <w:szCs w:val="21"/>
          <w:highlight w:val="none"/>
          <w:shd w:val="clear" w:color="auto" w:fill="ffffff"/>
        </w:rPr>
        <w:t xml:space="preserve">产品如有型号，请在</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产品名称</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栏一并填写。</w:t>
      </w:r>
      <w:r/>
    </w:p>
    <w:p>
      <w:pPr>
        <w:pStyle w:val="916"/>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2.</w:t>
      </w:r>
      <w:r>
        <w:rPr>
          <w:rFonts w:hint="eastAsia" w:cs="微软雅黑" w:asciiTheme="minorEastAsia" w:hAnsiTheme="minorEastAsia" w:eastAsiaTheme="minorEastAsia"/>
          <w:color w:val="auto"/>
          <w:sz w:val="21"/>
          <w:szCs w:val="21"/>
          <w:highlight w:val="none"/>
          <w:shd w:val="clear" w:color="auto" w:fill="ffffff"/>
        </w:rPr>
        <w:t xml:space="preserve">生产厂名与厂址应与生产厂营业执照载明的相关信息保持一致。</w:t>
      </w:r>
      <w:r/>
    </w:p>
    <w:p>
      <w:pPr>
        <w:pStyle w:val="916"/>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shd w:val="clear" w:color="auto" w:fill="ffffff"/>
        </w:rPr>
        <w:t xml:space="preserve">3.</w:t>
      </w:r>
      <w:r>
        <w:rPr>
          <w:rFonts w:hint="eastAsia" w:cs="微软雅黑" w:asciiTheme="minorEastAsia" w:hAnsiTheme="minorEastAsia" w:eastAsiaTheme="minorEastAsia"/>
          <w:b/>
          <w:bCs/>
          <w:color w:val="auto"/>
          <w:sz w:val="21"/>
          <w:szCs w:val="21"/>
          <w:highlight w:val="none"/>
          <w:shd w:val="clear" w:color="auto" w:fill="ffffff"/>
        </w:rPr>
        <w:t xml:space="preserve">该产品的中国境内生产的组件成本占比相关要求实施前，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规定比例</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916"/>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4.</w:t>
      </w:r>
      <w:r>
        <w:rPr>
          <w:rFonts w:hint="eastAsia" w:cs="微软雅黑" w:asciiTheme="minorEastAsia" w:hAnsiTheme="minorEastAsia" w:eastAsiaTheme="minorEastAsia"/>
          <w:b/>
          <w:bCs/>
          <w:color w:val="auto"/>
          <w:sz w:val="21"/>
          <w:szCs w:val="21"/>
          <w:highlight w:val="none"/>
          <w:shd w:val="clear" w:color="auto" w:fill="ffffff"/>
        </w:rPr>
        <w:t xml:space="preserve">该产品的关键组件要求实施前，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关键组件</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916"/>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5.</w:t>
      </w:r>
      <w:r>
        <w:rPr>
          <w:rFonts w:hint="eastAsia" w:cs="微软雅黑" w:asciiTheme="minorEastAsia" w:hAnsiTheme="minorEastAsia" w:eastAsiaTheme="minorEastAsia"/>
          <w:b/>
          <w:bCs/>
          <w:color w:val="auto"/>
          <w:sz w:val="21"/>
          <w:szCs w:val="21"/>
          <w:highlight w:val="none"/>
          <w:shd w:val="clear" w:color="auto" w:fill="ffffff"/>
        </w:rPr>
        <w:t xml:space="preserve">该产品的关键工序要求实施前，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关键工序</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916"/>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shd w:val="clear" w:color="auto" w:fill="ffffff"/>
        </w:rPr>
        <w:t xml:space="preserve">6.</w:t>
      </w:r>
      <w:r>
        <w:rPr>
          <w:rFonts w:hint="eastAsia" w:cs="微软雅黑" w:asciiTheme="minorEastAsia" w:hAnsiTheme="minorEastAsia" w:eastAsiaTheme="minorEastAsia"/>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auto"/>
          <w:sz w:val="21"/>
          <w:szCs w:val="21"/>
          <w:highlight w:val="none"/>
          <w:shd w:val="clear" w:color="auto" w:fill="ffffff"/>
        </w:rPr>
        <w:t xml:space="preserve">20%</w:t>
      </w:r>
      <w:r>
        <w:rPr>
          <w:rFonts w:hint="eastAsia" w:cs="微软雅黑" w:asciiTheme="minorEastAsia" w:hAnsiTheme="minorEastAsia" w:eastAsiaTheme="minorEastAsia"/>
          <w:color w:val="auto"/>
          <w:sz w:val="21"/>
          <w:szCs w:val="21"/>
          <w:highlight w:val="none"/>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的，将不享受本国产品价格评审优惠。</w:t>
      </w:r>
      <w:bookmarkEnd w:id="65"/>
      <w:r/>
      <w:r/>
    </w:p>
    <w:p>
      <w:pPr>
        <w:pStyle w:val="1113"/>
        <w:rPr>
          <w:color w:val="auto"/>
          <w:highlight w:val="none"/>
          <w:lang w:eastAsia="zh-CN"/>
        </w:rPr>
      </w:pPr>
      <w:r>
        <w:rPr>
          <w:color w:val="auto"/>
          <w:highlight w:val="none"/>
          <w:lang w:eastAsia="zh-CN"/>
        </w:rPr>
      </w:r>
      <w:r/>
    </w:p>
    <w:p>
      <w:pPr>
        <w:spacing w:line="360" w:lineRule="auto"/>
        <w:rPr>
          <w:rFonts w:ascii="黑体" w:eastAsia="黑体"/>
          <w:color w:val="auto"/>
          <w:sz w:val="36"/>
          <w:highlight w:val="none"/>
          <w:lang w:val="en-US"/>
        </w:rPr>
      </w:pPr>
      <w:r>
        <w:rPr>
          <w:rFonts w:ascii="黑体" w:eastAsia="黑体"/>
          <w:color w:val="auto"/>
          <w:sz w:val="36"/>
          <w:highlight w:val="none"/>
          <w:lang w:val="en-US"/>
        </w:rPr>
      </w:r>
      <w:bookmarkEnd w:id="68"/>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FZHTK--GBK1-0">
    <w:panose1 w:val="020B0503020202020204"/>
  </w:font>
  <w:font w:name="Symbol">
    <w:panose1 w:val="05050102010706020507"/>
  </w:font>
  <w:font w:name="Wingdings">
    <w:panose1 w:val="05000000000000000000"/>
  </w:font>
  <w:font w:name="华文楷体">
    <w:panose1 w:val="02010600040101010101"/>
  </w:font>
  <w:font w:name="楷体">
    <w:panose1 w:val="02010609060101010101"/>
  </w:font>
  <w:font w:name="华文细黑">
    <w:panose1 w:val="02010600040101010101"/>
  </w:font>
  <w:font w:name="仿宋">
    <w:panose1 w:val="02010609060101010101"/>
  </w:font>
  <w:font w:name="汉仪大黑简">
    <w:panose1 w:val="020B0503020202020204"/>
  </w:font>
  <w:font w:name="Calibri">
    <w:panose1 w:val="020F0502020204030204"/>
  </w:font>
  <w:font w:name="微软雅黑">
    <w:panose1 w:val="020B0503020204020204"/>
  </w:font>
  <w:font w:name="方正仿宋简体">
    <w:panose1 w:val="020B0503020202020204"/>
  </w:font>
  <w:font w:name="Tahoma">
    <w:panose1 w:val="020B0604030504040204"/>
  </w:font>
  <w:font w:name="ˎ̥">
    <w:panose1 w:val="020B0503020202020204"/>
  </w:font>
  <w:font w:name="楷体_GB2312">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73</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17</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73</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972185" cy="1479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60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73</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60</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73</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74"/>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23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39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21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27"/>
      <w:isLgl w:val="false"/>
      <w:suff w:val="tab"/>
      <w:lvlText w:val="%1"/>
      <w:lvlJc w:val="left"/>
      <w:pPr>
        <w:ind w:left="567" w:hanging="567"/>
        <w:tabs>
          <w:tab w:val="left" w:pos="567" w:leader="none"/>
        </w:tabs>
      </w:pPr>
      <w:rPr>
        <w:rFonts w:hint="eastAsia"/>
      </w:rPr>
    </w:lvl>
    <w:lvl w:ilvl="1">
      <w:start w:val="1"/>
      <w:numFmt w:val="decimal"/>
      <w:pStyle w:val="1139"/>
      <w:isLgl w:val="false"/>
      <w:suff w:val="tab"/>
      <w:lvlText w:val="%1.%2"/>
      <w:lvlJc w:val="left"/>
      <w:pPr>
        <w:ind w:left="567" w:hanging="283"/>
        <w:tabs>
          <w:tab w:val="left" w:pos="1004" w:leader="none"/>
        </w:tabs>
      </w:pPr>
      <w:rPr>
        <w:rFonts w:hint="eastAsia"/>
      </w:rPr>
    </w:lvl>
    <w:lvl w:ilvl="2">
      <w:start w:val="1"/>
      <w:numFmt w:val="decimal"/>
      <w:pStyle w:val="1393"/>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4">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7">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8">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9">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10">
    <w:multiLevelType w:val="hybridMultilevel"/>
    <w:lvl w:ilvl="0">
      <w:start w:val="1"/>
      <w:numFmt w:val="bullet"/>
      <w:pStyle w:val="1118"/>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1">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4">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5">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6">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7">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18">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9">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20">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21">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22">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num w:numId="1">
    <w:abstractNumId w:val="10"/>
  </w:num>
  <w:num w:numId="2">
    <w:abstractNumId w:val="3"/>
  </w:num>
  <w:num w:numId="3">
    <w:abstractNumId w:val="2"/>
  </w:num>
  <w:num w:numId="4">
    <w:abstractNumId w:val="1"/>
  </w:num>
  <w:num w:numId="5">
    <w:abstractNumId w:val="0"/>
  </w:num>
  <w:num w:numId="6">
    <w:abstractNumId w:val="17"/>
  </w:num>
  <w:num w:numId="7">
    <w:abstractNumId w:val="11"/>
  </w:num>
  <w:num w:numId="8">
    <w:abstractNumId w:val="21"/>
  </w:num>
  <w:num w:numId="9">
    <w:abstractNumId w:val="9"/>
  </w:num>
  <w:num w:numId="10">
    <w:abstractNumId w:val="6"/>
  </w:num>
  <w:num w:numId="11">
    <w:abstractNumId w:val="20"/>
  </w:num>
  <w:num w:numId="12">
    <w:abstractNumId w:val="14"/>
  </w:num>
  <w:num w:numId="13">
    <w:abstractNumId w:val="13"/>
  </w:num>
  <w:num w:numId="14">
    <w:abstractNumId w:val="15"/>
  </w:num>
  <w:num w:numId="15">
    <w:abstractNumId w:val="19"/>
  </w:num>
  <w:num w:numId="16">
    <w:abstractNumId w:val="7"/>
  </w:num>
  <w:num w:numId="17">
    <w:abstractNumId w:val="22"/>
  </w:num>
  <w:num w:numId="18">
    <w:abstractNumId w:val="16"/>
  </w:num>
  <w:num w:numId="19">
    <w:abstractNumId w:val="8"/>
  </w:num>
  <w:num w:numId="20">
    <w:abstractNumId w:val="18"/>
  </w:num>
  <w:num w:numId="21">
    <w:abstractNumId w:val="4"/>
  </w:num>
  <w:num w:numId="22">
    <w:abstractNumId w:val="12"/>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1">
    <w:name w:val="Heading 1 Char"/>
    <w:basedOn w:val="868"/>
    <w:link w:val="859"/>
    <w:uiPriority w:val="9"/>
    <w:rPr>
      <w:rFonts w:ascii="Arial" w:hAnsi="Arial" w:eastAsia="Arial" w:cs="Arial"/>
      <w:sz w:val="40"/>
      <w:szCs w:val="40"/>
    </w:rPr>
  </w:style>
  <w:style w:type="character" w:styleId="822">
    <w:name w:val="Heading 2 Char"/>
    <w:basedOn w:val="868"/>
    <w:link w:val="860"/>
    <w:uiPriority w:val="9"/>
    <w:rPr>
      <w:rFonts w:ascii="Arial" w:hAnsi="Arial" w:eastAsia="Arial" w:cs="Arial"/>
      <w:sz w:val="34"/>
    </w:rPr>
  </w:style>
  <w:style w:type="character" w:styleId="823">
    <w:name w:val="Heading 3 Char"/>
    <w:basedOn w:val="868"/>
    <w:link w:val="861"/>
    <w:uiPriority w:val="9"/>
    <w:rPr>
      <w:rFonts w:ascii="Arial" w:hAnsi="Arial" w:eastAsia="Arial" w:cs="Arial"/>
      <w:sz w:val="30"/>
      <w:szCs w:val="30"/>
    </w:rPr>
  </w:style>
  <w:style w:type="character" w:styleId="824">
    <w:name w:val="Heading 4 Char"/>
    <w:basedOn w:val="868"/>
    <w:link w:val="862"/>
    <w:uiPriority w:val="9"/>
    <w:rPr>
      <w:rFonts w:ascii="Arial" w:hAnsi="Arial" w:eastAsia="Arial" w:cs="Arial"/>
      <w:b/>
      <w:bCs/>
      <w:sz w:val="26"/>
      <w:szCs w:val="26"/>
    </w:rPr>
  </w:style>
  <w:style w:type="character" w:styleId="825">
    <w:name w:val="Heading 5 Char"/>
    <w:basedOn w:val="868"/>
    <w:link w:val="863"/>
    <w:uiPriority w:val="9"/>
    <w:rPr>
      <w:rFonts w:ascii="Arial" w:hAnsi="Arial" w:eastAsia="Arial" w:cs="Arial"/>
      <w:b/>
      <w:bCs/>
      <w:sz w:val="24"/>
      <w:szCs w:val="24"/>
    </w:rPr>
  </w:style>
  <w:style w:type="character" w:styleId="826">
    <w:name w:val="Heading 6 Char"/>
    <w:basedOn w:val="868"/>
    <w:link w:val="864"/>
    <w:uiPriority w:val="9"/>
    <w:rPr>
      <w:rFonts w:ascii="Arial" w:hAnsi="Arial" w:eastAsia="Arial" w:cs="Arial"/>
      <w:b/>
      <w:bCs/>
      <w:sz w:val="22"/>
      <w:szCs w:val="22"/>
    </w:rPr>
  </w:style>
  <w:style w:type="character" w:styleId="827">
    <w:name w:val="Heading 7 Char"/>
    <w:basedOn w:val="868"/>
    <w:link w:val="865"/>
    <w:uiPriority w:val="9"/>
    <w:rPr>
      <w:rFonts w:ascii="Arial" w:hAnsi="Arial" w:eastAsia="Arial" w:cs="Arial"/>
      <w:b/>
      <w:bCs/>
      <w:i/>
      <w:iCs/>
      <w:sz w:val="22"/>
      <w:szCs w:val="22"/>
    </w:rPr>
  </w:style>
  <w:style w:type="character" w:styleId="828">
    <w:name w:val="Heading 8 Char"/>
    <w:basedOn w:val="868"/>
    <w:link w:val="866"/>
    <w:uiPriority w:val="9"/>
    <w:rPr>
      <w:rFonts w:ascii="Arial" w:hAnsi="Arial" w:eastAsia="Arial" w:cs="Arial"/>
      <w:i/>
      <w:iCs/>
      <w:sz w:val="22"/>
      <w:szCs w:val="22"/>
    </w:rPr>
  </w:style>
  <w:style w:type="character" w:styleId="829">
    <w:name w:val="Heading 9 Char"/>
    <w:basedOn w:val="868"/>
    <w:link w:val="867"/>
    <w:uiPriority w:val="9"/>
    <w:rPr>
      <w:rFonts w:ascii="Arial" w:hAnsi="Arial" w:eastAsia="Arial" w:cs="Arial"/>
      <w:i/>
      <w:iCs/>
      <w:sz w:val="21"/>
      <w:szCs w:val="21"/>
    </w:rPr>
  </w:style>
  <w:style w:type="character" w:styleId="830">
    <w:name w:val="Title Char"/>
    <w:basedOn w:val="868"/>
    <w:link w:val="918"/>
    <w:uiPriority w:val="10"/>
    <w:rPr>
      <w:sz w:val="48"/>
      <w:szCs w:val="48"/>
    </w:rPr>
  </w:style>
  <w:style w:type="character" w:styleId="831">
    <w:name w:val="Subtitle Char"/>
    <w:basedOn w:val="868"/>
    <w:link w:val="905"/>
    <w:uiPriority w:val="11"/>
    <w:rPr>
      <w:sz w:val="24"/>
      <w:szCs w:val="24"/>
    </w:rPr>
  </w:style>
  <w:style w:type="character" w:styleId="832">
    <w:name w:val="Quote Char"/>
    <w:link w:val="952"/>
    <w:uiPriority w:val="29"/>
    <w:rPr>
      <w:i/>
    </w:rPr>
  </w:style>
  <w:style w:type="character" w:styleId="833">
    <w:name w:val="Intense Quote Char"/>
    <w:link w:val="954"/>
    <w:uiPriority w:val="30"/>
    <w:rPr>
      <w:i/>
    </w:rPr>
  </w:style>
  <w:style w:type="character" w:styleId="834">
    <w:name w:val="Header Char"/>
    <w:basedOn w:val="868"/>
    <w:link w:val="899"/>
    <w:uiPriority w:val="99"/>
  </w:style>
  <w:style w:type="character" w:styleId="835">
    <w:name w:val="Caption Char"/>
    <w:basedOn w:val="876"/>
    <w:link w:val="897"/>
    <w:uiPriority w:val="99"/>
  </w:style>
  <w:style w:type="table" w:styleId="836">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7">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8">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9">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0">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1">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2">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3">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6">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8">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0">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4">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55">
    <w:name w:val="Footnote Text Char"/>
    <w:link w:val="906"/>
    <w:uiPriority w:val="99"/>
    <w:rPr>
      <w:sz w:val="18"/>
    </w:rPr>
  </w:style>
  <w:style w:type="character" w:styleId="856">
    <w:name w:val="Endnote Text Char"/>
    <w:link w:val="895"/>
    <w:uiPriority w:val="99"/>
    <w:rPr>
      <w:sz w:val="20"/>
    </w:rPr>
  </w:style>
  <w:style w:type="paragraph" w:styleId="857">
    <w:name w:val="TOC Heading"/>
    <w:uiPriority w:val="39"/>
    <w:unhideWhenUsed/>
  </w:style>
  <w:style w:type="paragraph" w:styleId="858" w:default="1">
    <w:name w:val="Normal"/>
    <w:uiPriority w:val="1"/>
    <w:qFormat/>
    <w:pPr>
      <w:widowControl w:val="off"/>
    </w:pPr>
    <w:rPr>
      <w:rFonts w:ascii="宋体" w:hAnsi="宋体" w:eastAsia="宋体" w:cs="宋体"/>
      <w:sz w:val="22"/>
      <w:szCs w:val="22"/>
      <w:lang w:val="zh-CN" w:eastAsia="zh-CN" w:bidi="zh-CN"/>
    </w:rPr>
  </w:style>
  <w:style w:type="paragraph" w:styleId="859">
    <w:name w:val="Heading 1"/>
    <w:basedOn w:val="858"/>
    <w:next w:val="858"/>
    <w:link w:val="940"/>
    <w:uiPriority w:val="0"/>
    <w:qFormat/>
    <w:pPr>
      <w:ind w:right="35"/>
      <w:jc w:val="center"/>
      <w:outlineLvl w:val="0"/>
    </w:pPr>
    <w:rPr>
      <w:b/>
      <w:bCs/>
      <w:sz w:val="72"/>
      <w:szCs w:val="72"/>
    </w:rPr>
  </w:style>
  <w:style w:type="paragraph" w:styleId="860">
    <w:name w:val="Heading 2"/>
    <w:basedOn w:val="858"/>
    <w:next w:val="858"/>
    <w:link w:val="941"/>
    <w:uiPriority w:val="0"/>
    <w:qFormat/>
    <w:pPr>
      <w:ind w:left="218"/>
      <w:outlineLvl w:val="1"/>
    </w:pPr>
    <w:rPr>
      <w:b/>
      <w:bCs/>
      <w:sz w:val="32"/>
      <w:szCs w:val="32"/>
    </w:rPr>
  </w:style>
  <w:style w:type="paragraph" w:styleId="861">
    <w:name w:val="Heading 3"/>
    <w:basedOn w:val="858"/>
    <w:next w:val="858"/>
    <w:link w:val="942"/>
    <w:uiPriority w:val="0"/>
    <w:qFormat/>
    <w:pPr>
      <w:ind w:left="218"/>
      <w:outlineLvl w:val="2"/>
    </w:pPr>
    <w:rPr>
      <w:sz w:val="28"/>
      <w:szCs w:val="28"/>
    </w:rPr>
  </w:style>
  <w:style w:type="paragraph" w:styleId="862">
    <w:name w:val="Heading 4"/>
    <w:basedOn w:val="858"/>
    <w:next w:val="858"/>
    <w:link w:val="943"/>
    <w:uiPriority w:val="0"/>
    <w:qFormat/>
    <w:pPr>
      <w:ind w:left="218"/>
      <w:outlineLvl w:val="3"/>
    </w:pPr>
    <w:rPr>
      <w:sz w:val="24"/>
      <w:szCs w:val="24"/>
    </w:rPr>
  </w:style>
  <w:style w:type="paragraph" w:styleId="863">
    <w:name w:val="Heading 5"/>
    <w:basedOn w:val="858"/>
    <w:next w:val="858"/>
    <w:link w:val="944"/>
    <w:uiPriority w:val="0"/>
    <w:unhideWhenUsed/>
    <w:qFormat/>
    <w:pPr>
      <w:keepLines/>
      <w:keepNext/>
      <w:spacing w:before="320" w:after="200"/>
      <w:outlineLvl w:val="4"/>
    </w:pPr>
    <w:rPr>
      <w:rFonts w:ascii="Arial" w:hAnsi="Arial" w:eastAsia="Arial" w:cs="Arial"/>
      <w:b/>
      <w:bCs/>
      <w:sz w:val="24"/>
      <w:szCs w:val="24"/>
    </w:rPr>
  </w:style>
  <w:style w:type="paragraph" w:styleId="864">
    <w:name w:val="Heading 6"/>
    <w:basedOn w:val="858"/>
    <w:next w:val="858"/>
    <w:link w:val="945"/>
    <w:uiPriority w:val="0"/>
    <w:unhideWhenUsed/>
    <w:qFormat/>
    <w:pPr>
      <w:keepLines/>
      <w:keepNext/>
      <w:spacing w:before="320" w:after="200"/>
      <w:outlineLvl w:val="5"/>
    </w:pPr>
    <w:rPr>
      <w:rFonts w:ascii="Arial" w:hAnsi="Arial" w:eastAsia="Arial" w:cs="Arial"/>
      <w:b/>
      <w:bCs/>
    </w:rPr>
  </w:style>
  <w:style w:type="paragraph" w:styleId="865">
    <w:name w:val="Heading 7"/>
    <w:basedOn w:val="858"/>
    <w:next w:val="858"/>
    <w:link w:val="946"/>
    <w:uiPriority w:val="0"/>
    <w:unhideWhenUsed/>
    <w:qFormat/>
    <w:pPr>
      <w:keepLines/>
      <w:keepNext/>
      <w:spacing w:before="320" w:after="200"/>
      <w:outlineLvl w:val="6"/>
    </w:pPr>
    <w:rPr>
      <w:rFonts w:ascii="Arial" w:hAnsi="Arial" w:eastAsia="Arial" w:cs="Arial"/>
      <w:b/>
      <w:bCs/>
      <w:i/>
      <w:iCs/>
    </w:rPr>
  </w:style>
  <w:style w:type="paragraph" w:styleId="866">
    <w:name w:val="Heading 8"/>
    <w:basedOn w:val="858"/>
    <w:next w:val="858"/>
    <w:link w:val="947"/>
    <w:uiPriority w:val="0"/>
    <w:unhideWhenUsed/>
    <w:qFormat/>
    <w:pPr>
      <w:keepLines/>
      <w:keepNext/>
      <w:spacing w:before="320" w:after="200"/>
      <w:outlineLvl w:val="7"/>
    </w:pPr>
    <w:rPr>
      <w:rFonts w:ascii="Arial" w:hAnsi="Arial" w:eastAsia="Arial" w:cs="Arial"/>
      <w:i/>
      <w:iCs/>
    </w:rPr>
  </w:style>
  <w:style w:type="paragraph" w:styleId="867">
    <w:name w:val="Heading 9"/>
    <w:basedOn w:val="858"/>
    <w:next w:val="858"/>
    <w:link w:val="948"/>
    <w:uiPriority w:val="0"/>
    <w:unhideWhenUsed/>
    <w:qFormat/>
    <w:pPr>
      <w:keepLines/>
      <w:keepNext/>
      <w:spacing w:before="320" w:after="200"/>
      <w:outlineLvl w:val="8"/>
    </w:pPr>
    <w:rPr>
      <w:rFonts w:ascii="Arial" w:hAnsi="Arial" w:eastAsia="Arial" w:cs="Arial"/>
      <w:i/>
      <w:iCs/>
      <w:sz w:val="21"/>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List 3"/>
    <w:basedOn w:val="858"/>
    <w:uiPriority w:val="0"/>
    <w:qFormat/>
    <w:pPr>
      <w:ind w:left="1260" w:hanging="420"/>
      <w:jc w:val="both"/>
      <w:spacing w:line="360" w:lineRule="auto"/>
    </w:pPr>
    <w:rPr>
      <w:rFonts w:ascii="Times New Roman" w:hAnsi="Times New Roman" w:cs="Times New Roman"/>
      <w:sz w:val="24"/>
      <w:szCs w:val="24"/>
      <w:lang w:val="en-US" w:bidi="ar-SA"/>
    </w:rPr>
  </w:style>
  <w:style w:type="paragraph" w:styleId="871">
    <w:name w:val="toc 7"/>
    <w:basedOn w:val="858"/>
    <w:next w:val="858"/>
    <w:uiPriority w:val="0"/>
    <w:unhideWhenUsed/>
    <w:qFormat/>
    <w:pPr>
      <w:ind w:left="1701"/>
      <w:spacing w:after="57"/>
    </w:pPr>
  </w:style>
  <w:style w:type="paragraph" w:styleId="872">
    <w:name w:val="List Number 2"/>
    <w:basedOn w:val="858"/>
    <w:uiPriority w:val="0"/>
    <w:qFormat/>
    <w:pPr>
      <w:ind w:left="1440" w:hanging="1440"/>
      <w:jc w:val="both"/>
      <w:spacing w:line="360" w:lineRule="auto"/>
      <w:tabs>
        <w:tab w:val="left" w:pos="1440" w:leader="none"/>
      </w:tabs>
    </w:pPr>
    <w:rPr>
      <w:rFonts w:ascii="Times New Roman" w:hAnsi="Times New Roman" w:cs="Times New Roman"/>
      <w:sz w:val="24"/>
      <w:szCs w:val="24"/>
      <w:lang w:val="en-US" w:bidi="ar-SA"/>
    </w:rPr>
  </w:style>
  <w:style w:type="paragraph" w:styleId="873">
    <w:name w:val="index 8"/>
    <w:basedOn w:val="858"/>
    <w:next w:val="858"/>
    <w:uiPriority w:val="0"/>
    <w:qFormat/>
    <w:pPr>
      <w:ind w:left="2940" w:firstLine="562"/>
      <w:jc w:val="both"/>
      <w:spacing w:line="360" w:lineRule="auto"/>
    </w:pPr>
    <w:rPr>
      <w:rFonts w:ascii="Times New Roman" w:hAnsi="Times New Roman" w:cs="Times New Roman"/>
      <w:sz w:val="24"/>
      <w:szCs w:val="24"/>
      <w:lang w:val="en-US" w:bidi="ar-SA"/>
    </w:rPr>
  </w:style>
  <w:style w:type="paragraph" w:styleId="874">
    <w:name w:val="List Number"/>
    <w:basedOn w:val="858"/>
    <w:uiPriority w:val="0"/>
    <w:qFormat/>
    <w:pPr>
      <w:ind w:left="2952" w:hanging="432"/>
      <w:jc w:val="both"/>
      <w:spacing w:line="360" w:lineRule="auto"/>
      <w:tabs>
        <w:tab w:val="left" w:pos="2952" w:leader="none"/>
      </w:tabs>
    </w:pPr>
    <w:rPr>
      <w:rFonts w:ascii="Times New Roman" w:hAnsi="Times New Roman" w:cs="Times New Roman"/>
      <w:sz w:val="24"/>
      <w:szCs w:val="24"/>
      <w:lang w:val="en-US" w:bidi="ar-SA"/>
    </w:rPr>
  </w:style>
  <w:style w:type="paragraph" w:styleId="875">
    <w:name w:val="Normal Indent"/>
    <w:basedOn w:val="858"/>
    <w:uiPriority w:val="0"/>
    <w:qFormat/>
    <w:pPr>
      <w:ind w:firstLine="420"/>
      <w:spacing w:line="360" w:lineRule="auto"/>
    </w:pPr>
    <w:rPr>
      <w:rFonts w:ascii="Times New Roman" w:hAnsi="Times New Roman"/>
      <w:sz w:val="24"/>
      <w:szCs w:val="21"/>
    </w:rPr>
  </w:style>
  <w:style w:type="paragraph" w:styleId="876">
    <w:name w:val="Caption"/>
    <w:basedOn w:val="858"/>
    <w:next w:val="8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7">
    <w:name w:val="index 5"/>
    <w:basedOn w:val="858"/>
    <w:next w:val="858"/>
    <w:uiPriority w:val="0"/>
    <w:qFormat/>
    <w:pPr>
      <w:ind w:left="1680" w:firstLine="562"/>
      <w:jc w:val="both"/>
      <w:spacing w:line="360" w:lineRule="auto"/>
    </w:pPr>
    <w:rPr>
      <w:rFonts w:ascii="Times New Roman" w:hAnsi="Times New Roman" w:cs="Times New Roman"/>
      <w:sz w:val="24"/>
      <w:szCs w:val="24"/>
      <w:lang w:val="en-US" w:bidi="ar-SA"/>
    </w:rPr>
  </w:style>
  <w:style w:type="paragraph" w:styleId="878">
    <w:name w:val="Document Map"/>
    <w:basedOn w:val="858"/>
    <w:link w:val="1127"/>
    <w:uiPriority w:val="0"/>
    <w:qFormat/>
    <w:pPr>
      <w:ind w:firstLine="562"/>
      <w:jc w:val="both"/>
      <w:spacing w:line="360" w:lineRule="auto"/>
      <w:shd w:val="clear" w:color="auto" w:fill="000080"/>
    </w:pPr>
    <w:rPr>
      <w:sz w:val="24"/>
      <w:szCs w:val="24"/>
      <w:lang w:val="en-US" w:bidi="ar-SA"/>
    </w:rPr>
  </w:style>
  <w:style w:type="paragraph" w:styleId="879">
    <w:name w:val="toa heading"/>
    <w:basedOn w:val="858"/>
    <w:next w:val="858"/>
    <w:uiPriority w:val="99"/>
    <w:qFormat/>
    <w:pPr>
      <w:ind w:firstLine="562"/>
      <w:jc w:val="both"/>
      <w:spacing w:before="120" w:line="360" w:lineRule="auto"/>
    </w:pPr>
    <w:rPr>
      <w:rFonts w:ascii="Cambria" w:hAnsi="Cambria"/>
      <w:sz w:val="24"/>
      <w:szCs w:val="24"/>
      <w:lang w:val="en-US" w:bidi="ar-SA"/>
    </w:rPr>
  </w:style>
  <w:style w:type="paragraph" w:styleId="880">
    <w:name w:val="annotation text"/>
    <w:basedOn w:val="858"/>
    <w:link w:val="1102"/>
    <w:uiPriority w:val="0"/>
    <w:qFormat/>
  </w:style>
  <w:style w:type="paragraph" w:styleId="881">
    <w:name w:val="index 6"/>
    <w:basedOn w:val="858"/>
    <w:next w:val="858"/>
    <w:uiPriority w:val="0"/>
    <w:qFormat/>
    <w:pPr>
      <w:ind w:left="2100" w:firstLine="562"/>
      <w:jc w:val="both"/>
      <w:spacing w:line="360" w:lineRule="auto"/>
    </w:pPr>
    <w:rPr>
      <w:rFonts w:ascii="Times New Roman" w:hAnsi="Times New Roman" w:cs="Times New Roman"/>
      <w:sz w:val="24"/>
      <w:szCs w:val="24"/>
      <w:lang w:val="en-US" w:bidi="ar-SA"/>
    </w:rPr>
  </w:style>
  <w:style w:type="paragraph" w:styleId="882">
    <w:name w:val="Salutation"/>
    <w:basedOn w:val="858"/>
    <w:next w:val="858"/>
    <w:link w:val="1128"/>
    <w:uiPriority w:val="0"/>
    <w:qFormat/>
    <w:pPr>
      <w:ind w:firstLine="562"/>
      <w:jc w:val="both"/>
      <w:spacing w:line="360" w:lineRule="auto"/>
    </w:pPr>
    <w:rPr>
      <w:rFonts w:ascii="仿宋_GB2312" w:hAnsi="Times New Roman" w:eastAsia="仿宋_GB2312" w:cs="Times New Roman"/>
      <w:sz w:val="28"/>
      <w:szCs w:val="24"/>
      <w:lang w:val="en-US" w:bidi="ar-SA"/>
    </w:rPr>
  </w:style>
  <w:style w:type="paragraph" w:styleId="883">
    <w:name w:val="Body Text 3"/>
    <w:basedOn w:val="858"/>
    <w:link w:val="1129"/>
    <w:uiPriority w:val="0"/>
    <w:qFormat/>
    <w:pPr>
      <w:ind w:firstLine="562"/>
      <w:jc w:val="both"/>
      <w:spacing w:line="360" w:lineRule="auto"/>
    </w:pPr>
    <w:rPr>
      <w:rFonts w:ascii="仿宋_GB2312" w:hAnsi="Arial" w:eastAsia="仿宋_GB2312" w:cs="Times New Roman"/>
      <w:sz w:val="32"/>
      <w:szCs w:val="24"/>
      <w:lang w:val="en-US" w:bidi="ar-SA"/>
    </w:rPr>
  </w:style>
  <w:style w:type="paragraph" w:styleId="884">
    <w:name w:val="Body Text"/>
    <w:basedOn w:val="858"/>
    <w:next w:val="885"/>
    <w:link w:val="1125"/>
    <w:uiPriority w:val="0"/>
    <w:qFormat/>
    <w:rPr>
      <w:sz w:val="21"/>
      <w:szCs w:val="21"/>
    </w:rPr>
  </w:style>
  <w:style w:type="paragraph" w:styleId="885">
    <w:name w:val="Date"/>
    <w:basedOn w:val="858"/>
    <w:next w:val="858"/>
    <w:uiPriority w:val="0"/>
    <w:qFormat/>
    <w:pPr>
      <w:ind w:left="100"/>
    </w:pPr>
    <w:rPr>
      <w:rFonts w:ascii="Times New Roman" w:hAnsi="Times New Roman" w:cs="Times New Roman"/>
      <w:sz w:val="28"/>
    </w:rPr>
  </w:style>
  <w:style w:type="paragraph" w:styleId="886">
    <w:name w:val="Body Text Indent"/>
    <w:basedOn w:val="858"/>
    <w:link w:val="1152"/>
    <w:uiPriority w:val="0"/>
    <w:qFormat/>
    <w:pPr>
      <w:ind w:firstLine="301"/>
      <w:spacing w:line="200" w:lineRule="exact"/>
    </w:pPr>
    <w:rPr>
      <w:rFonts w:hAnsi="Courier New"/>
      <w:spacing w:val="-4"/>
      <w:sz w:val="18"/>
      <w:szCs w:val="20"/>
    </w:rPr>
  </w:style>
  <w:style w:type="paragraph" w:styleId="887">
    <w:name w:val="Block Text"/>
    <w:basedOn w:val="858"/>
    <w:uiPriority w:val="0"/>
    <w:unhideWhenUsed/>
    <w:qFormat/>
    <w:pPr>
      <w:ind w:left="1440" w:right="1440"/>
      <w:spacing w:after="120"/>
    </w:pPr>
  </w:style>
  <w:style w:type="paragraph" w:styleId="888">
    <w:name w:val="index 4"/>
    <w:basedOn w:val="858"/>
    <w:next w:val="858"/>
    <w:uiPriority w:val="0"/>
    <w:unhideWhenUsed/>
    <w:qFormat/>
    <w:pPr>
      <w:ind w:left="600"/>
    </w:pPr>
    <w:rPr>
      <w:b/>
      <w:position w:val="-10"/>
      <w:sz w:val="24"/>
      <w:szCs w:val="20"/>
    </w:rPr>
  </w:style>
  <w:style w:type="paragraph" w:styleId="889">
    <w:name w:val="toc 5"/>
    <w:basedOn w:val="858"/>
    <w:next w:val="858"/>
    <w:uiPriority w:val="0"/>
    <w:unhideWhenUsed/>
    <w:qFormat/>
    <w:pPr>
      <w:ind w:left="1134"/>
      <w:spacing w:after="57"/>
    </w:pPr>
  </w:style>
  <w:style w:type="paragraph" w:styleId="890">
    <w:name w:val="toc 3"/>
    <w:basedOn w:val="858"/>
    <w:next w:val="858"/>
    <w:uiPriority w:val="0"/>
    <w:unhideWhenUsed/>
    <w:qFormat/>
    <w:pPr>
      <w:ind w:left="567"/>
      <w:spacing w:after="57"/>
    </w:pPr>
  </w:style>
  <w:style w:type="paragraph" w:styleId="891">
    <w:name w:val="Plain Text"/>
    <w:basedOn w:val="858"/>
    <w:link w:val="1106"/>
    <w:uiPriority w:val="0"/>
    <w:unhideWhenUsed/>
    <w:qFormat/>
    <w:rPr>
      <w:rFonts w:hAnsi="Courier New"/>
    </w:rPr>
  </w:style>
  <w:style w:type="paragraph" w:styleId="892">
    <w:name w:val="toc 8"/>
    <w:basedOn w:val="858"/>
    <w:next w:val="858"/>
    <w:uiPriority w:val="0"/>
    <w:unhideWhenUsed/>
    <w:qFormat/>
    <w:pPr>
      <w:ind w:left="1984"/>
      <w:spacing w:after="57"/>
    </w:pPr>
  </w:style>
  <w:style w:type="paragraph" w:styleId="893">
    <w:name w:val="index 3"/>
    <w:basedOn w:val="858"/>
    <w:next w:val="858"/>
    <w:uiPriority w:val="0"/>
    <w:qFormat/>
    <w:pPr>
      <w:ind w:left="840" w:firstLine="562"/>
      <w:jc w:val="both"/>
      <w:spacing w:line="360" w:lineRule="auto"/>
    </w:pPr>
    <w:rPr>
      <w:rFonts w:ascii="Times New Roman" w:hAnsi="Times New Roman" w:cs="Times New Roman"/>
      <w:sz w:val="24"/>
      <w:szCs w:val="24"/>
      <w:lang w:val="en-US" w:bidi="ar-SA"/>
    </w:rPr>
  </w:style>
  <w:style w:type="paragraph" w:styleId="894">
    <w:name w:val="Body Text Indent 2"/>
    <w:basedOn w:val="858"/>
    <w:link w:val="1130"/>
    <w:uiPriority w:val="0"/>
    <w:qFormat/>
    <w:pPr>
      <w:ind w:left="630" w:firstLine="645"/>
      <w:jc w:val="both"/>
      <w:spacing w:line="360" w:lineRule="auto"/>
    </w:pPr>
    <w:rPr>
      <w:rFonts w:ascii="Arial" w:hAnsi="Arial" w:eastAsia="仿宋_GB2312"/>
      <w:sz w:val="32"/>
      <w:szCs w:val="24"/>
      <w:lang w:val="en-US" w:bidi="ar-SA"/>
    </w:rPr>
  </w:style>
  <w:style w:type="paragraph" w:styleId="895">
    <w:name w:val="endnote text"/>
    <w:basedOn w:val="858"/>
    <w:link w:val="1085"/>
    <w:uiPriority w:val="0"/>
    <w:unhideWhenUsed/>
    <w:qFormat/>
    <w:rPr>
      <w:sz w:val="20"/>
    </w:rPr>
  </w:style>
  <w:style w:type="paragraph" w:styleId="896">
    <w:name w:val="Balloon Text"/>
    <w:basedOn w:val="858"/>
    <w:link w:val="1092"/>
    <w:uiPriority w:val="0"/>
    <w:qFormat/>
    <w:rPr>
      <w:sz w:val="18"/>
      <w:szCs w:val="18"/>
    </w:rPr>
  </w:style>
  <w:style w:type="paragraph" w:styleId="897">
    <w:name w:val="Footer"/>
    <w:basedOn w:val="858"/>
    <w:link w:val="958"/>
    <w:uiPriority w:val="0"/>
    <w:qFormat/>
    <w:pPr>
      <w:tabs>
        <w:tab w:val="center" w:pos="4153" w:leader="none"/>
        <w:tab w:val="right" w:pos="8306" w:leader="none"/>
      </w:tabs>
    </w:pPr>
    <w:rPr>
      <w:sz w:val="18"/>
    </w:rPr>
  </w:style>
  <w:style w:type="paragraph" w:styleId="898">
    <w:name w:val="envelope return"/>
    <w:basedOn w:val="858"/>
    <w:uiPriority w:val="0"/>
    <w:qFormat/>
    <w:pPr>
      <w:ind w:firstLine="562"/>
      <w:jc w:val="both"/>
      <w:spacing w:line="360" w:lineRule="auto"/>
    </w:pPr>
    <w:rPr>
      <w:rFonts w:ascii="Arial" w:hAnsi="Arial" w:cs="Times New Roman"/>
      <w:sz w:val="24"/>
      <w:szCs w:val="24"/>
      <w:lang w:val="en-US" w:bidi="ar-SA"/>
    </w:rPr>
  </w:style>
  <w:style w:type="paragraph" w:styleId="899">
    <w:name w:val="Header"/>
    <w:basedOn w:val="858"/>
    <w:link w:val="95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900">
    <w:name w:val="Signature"/>
    <w:basedOn w:val="858"/>
    <w:link w:val="1131"/>
    <w:uiPriority w:val="0"/>
    <w:qFormat/>
    <w:pPr>
      <w:ind w:firstLine="562"/>
      <w:jc w:val="center"/>
      <w:spacing w:after="600" w:line="312" w:lineRule="atLeast"/>
    </w:pPr>
    <w:rPr>
      <w:rFonts w:ascii="Times New Roman" w:hAnsi="Times New Roman" w:eastAsia="仿宋_GB2312" w:cs="Times New Roman"/>
      <w:sz w:val="24"/>
      <w:szCs w:val="24"/>
      <w:lang w:val="en-US" w:bidi="ar-SA"/>
    </w:rPr>
  </w:style>
  <w:style w:type="paragraph" w:styleId="901">
    <w:name w:val="toc 1"/>
    <w:basedOn w:val="858"/>
    <w:next w:val="858"/>
    <w:uiPriority w:val="0"/>
    <w:qFormat/>
  </w:style>
  <w:style w:type="paragraph" w:styleId="902">
    <w:name w:val="toc 4"/>
    <w:basedOn w:val="858"/>
    <w:next w:val="858"/>
    <w:uiPriority w:val="0"/>
    <w:unhideWhenUsed/>
    <w:qFormat/>
    <w:pPr>
      <w:ind w:left="850"/>
      <w:spacing w:after="57"/>
    </w:pPr>
  </w:style>
  <w:style w:type="paragraph" w:styleId="903">
    <w:name w:val="index heading"/>
    <w:basedOn w:val="858"/>
    <w:next w:val="904"/>
    <w:uiPriority w:val="0"/>
    <w:qFormat/>
    <w:pPr>
      <w:ind w:firstLine="562"/>
      <w:jc w:val="both"/>
      <w:spacing w:line="360" w:lineRule="auto"/>
    </w:pPr>
    <w:rPr>
      <w:rFonts w:ascii="Times New Roman" w:hAnsi="Times New Roman" w:cs="Times New Roman"/>
      <w:sz w:val="24"/>
      <w:szCs w:val="24"/>
      <w:lang w:val="en-US" w:bidi="ar-SA"/>
    </w:rPr>
  </w:style>
  <w:style w:type="paragraph" w:styleId="904">
    <w:name w:val="index 1"/>
    <w:basedOn w:val="858"/>
    <w:next w:val="858"/>
    <w:uiPriority w:val="0"/>
    <w:unhideWhenUsed/>
    <w:qFormat/>
  </w:style>
  <w:style w:type="paragraph" w:styleId="905">
    <w:name w:val="Subtitle"/>
    <w:basedOn w:val="858"/>
    <w:next w:val="858"/>
    <w:link w:val="951"/>
    <w:uiPriority w:val="0"/>
    <w:qFormat/>
    <w:pPr>
      <w:spacing w:before="200" w:after="200"/>
    </w:pPr>
    <w:rPr>
      <w:sz w:val="24"/>
      <w:szCs w:val="24"/>
    </w:rPr>
  </w:style>
  <w:style w:type="paragraph" w:styleId="906">
    <w:name w:val="footnote text"/>
    <w:basedOn w:val="858"/>
    <w:link w:val="1084"/>
    <w:uiPriority w:val="0"/>
    <w:unhideWhenUsed/>
    <w:qFormat/>
    <w:pPr>
      <w:spacing w:after="40"/>
    </w:pPr>
    <w:rPr>
      <w:sz w:val="18"/>
    </w:rPr>
  </w:style>
  <w:style w:type="paragraph" w:styleId="907">
    <w:name w:val="toc 6"/>
    <w:basedOn w:val="858"/>
    <w:next w:val="858"/>
    <w:uiPriority w:val="0"/>
    <w:unhideWhenUsed/>
    <w:qFormat/>
    <w:pPr>
      <w:ind w:left="1417"/>
      <w:spacing w:after="57"/>
    </w:pPr>
  </w:style>
  <w:style w:type="paragraph" w:styleId="908">
    <w:name w:val="Body Text Indent 3"/>
    <w:basedOn w:val="858"/>
    <w:link w:val="1132"/>
    <w:uiPriority w:val="0"/>
    <w:qFormat/>
    <w:pPr>
      <w:ind w:left="645" w:firstLine="645"/>
      <w:jc w:val="both"/>
      <w:spacing w:line="360" w:lineRule="auto"/>
    </w:pPr>
    <w:rPr>
      <w:rFonts w:ascii="Arial" w:hAnsi="Arial" w:eastAsia="仿宋_GB2312"/>
      <w:color w:val="ffff00"/>
      <w:sz w:val="32"/>
      <w:szCs w:val="24"/>
      <w:lang w:val="en-US" w:bidi="ar-SA"/>
    </w:rPr>
  </w:style>
  <w:style w:type="paragraph" w:styleId="909">
    <w:name w:val="index 7"/>
    <w:basedOn w:val="858"/>
    <w:next w:val="858"/>
    <w:uiPriority w:val="0"/>
    <w:qFormat/>
    <w:pPr>
      <w:ind w:left="2520" w:firstLine="562"/>
      <w:jc w:val="both"/>
      <w:spacing w:line="360" w:lineRule="auto"/>
    </w:pPr>
    <w:rPr>
      <w:rFonts w:ascii="Times New Roman" w:hAnsi="Times New Roman" w:cs="Times New Roman"/>
      <w:sz w:val="24"/>
      <w:szCs w:val="24"/>
      <w:lang w:val="en-US" w:bidi="ar-SA"/>
    </w:rPr>
  </w:style>
  <w:style w:type="paragraph" w:styleId="910">
    <w:name w:val="index 9"/>
    <w:basedOn w:val="858"/>
    <w:next w:val="858"/>
    <w:uiPriority w:val="0"/>
    <w:qFormat/>
    <w:pPr>
      <w:ind w:left="3360" w:firstLine="562"/>
      <w:jc w:val="both"/>
      <w:spacing w:line="360" w:lineRule="auto"/>
    </w:pPr>
    <w:rPr>
      <w:rFonts w:ascii="Times New Roman" w:hAnsi="Times New Roman" w:cs="Times New Roman"/>
      <w:sz w:val="24"/>
      <w:szCs w:val="24"/>
      <w:lang w:val="en-US" w:bidi="ar-SA"/>
    </w:rPr>
  </w:style>
  <w:style w:type="paragraph" w:styleId="911">
    <w:name w:val="table of figures"/>
    <w:basedOn w:val="858"/>
    <w:next w:val="858"/>
    <w:uiPriority w:val="0"/>
    <w:unhideWhenUsed/>
    <w:qFormat/>
  </w:style>
  <w:style w:type="paragraph" w:styleId="912">
    <w:name w:val="toc 2"/>
    <w:basedOn w:val="858"/>
    <w:next w:val="858"/>
    <w:uiPriority w:val="0"/>
    <w:unhideWhenUsed/>
    <w:qFormat/>
    <w:pPr>
      <w:ind w:left="283"/>
      <w:spacing w:after="57"/>
    </w:pPr>
  </w:style>
  <w:style w:type="paragraph" w:styleId="913">
    <w:name w:val="toc 9"/>
    <w:basedOn w:val="858"/>
    <w:next w:val="858"/>
    <w:uiPriority w:val="0"/>
    <w:unhideWhenUsed/>
    <w:qFormat/>
    <w:pPr>
      <w:ind w:left="2268"/>
      <w:spacing w:after="57"/>
    </w:pPr>
  </w:style>
  <w:style w:type="paragraph" w:styleId="914">
    <w:name w:val="Body Text 2"/>
    <w:basedOn w:val="858"/>
    <w:link w:val="1133"/>
    <w:uiPriority w:val="0"/>
    <w:qFormat/>
    <w:pPr>
      <w:ind w:firstLine="562"/>
      <w:jc w:val="center"/>
      <w:spacing w:line="360" w:lineRule="auto"/>
      <w:widowControl/>
    </w:pPr>
    <w:rPr>
      <w:rFonts w:ascii="楷体_GB2312" w:hAnsi="Times New Roman" w:eastAsia="楷体_GB2312" w:cs="Times New Roman"/>
      <w:sz w:val="28"/>
      <w:szCs w:val="24"/>
      <w:lang w:val="en-US" w:bidi="ar-SA"/>
    </w:rPr>
  </w:style>
  <w:style w:type="paragraph" w:styleId="915">
    <w:name w:val="HTML Preformatted"/>
    <w:basedOn w:val="858"/>
    <w:link w:val="1134"/>
    <w:uiPriority w:val="0"/>
    <w:qFormat/>
    <w:pPr>
      <w:ind w:firstLine="56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4"/>
      <w:lang w:val="en-US" w:bidi="ar-SA"/>
    </w:rPr>
  </w:style>
  <w:style w:type="paragraph" w:styleId="916">
    <w:name w:val="Normal (Web)"/>
    <w:basedOn w:val="858"/>
    <w:uiPriority w:val="0"/>
    <w:qFormat/>
    <w:pPr>
      <w:spacing w:before="100" w:beforeAutospacing="1" w:after="100" w:afterAutospacing="1"/>
      <w:widowControl/>
    </w:pPr>
    <w:rPr>
      <w:sz w:val="24"/>
      <w:szCs w:val="24"/>
    </w:rPr>
  </w:style>
  <w:style w:type="paragraph" w:styleId="917">
    <w:name w:val="index 2"/>
    <w:basedOn w:val="858"/>
    <w:next w:val="858"/>
    <w:uiPriority w:val="0"/>
    <w:qFormat/>
    <w:pPr>
      <w:ind w:left="420" w:firstLine="562"/>
      <w:jc w:val="both"/>
      <w:spacing w:line="360" w:lineRule="auto"/>
    </w:pPr>
    <w:rPr>
      <w:rFonts w:ascii="Times New Roman" w:hAnsi="Times New Roman" w:cs="Times New Roman"/>
      <w:sz w:val="24"/>
      <w:szCs w:val="24"/>
      <w:lang w:val="en-US" w:bidi="ar-SA"/>
    </w:rPr>
  </w:style>
  <w:style w:type="paragraph" w:styleId="918">
    <w:name w:val="Title"/>
    <w:basedOn w:val="858"/>
    <w:next w:val="858"/>
    <w:link w:val="950"/>
    <w:uiPriority w:val="0"/>
    <w:qFormat/>
    <w:pPr>
      <w:contextualSpacing/>
      <w:spacing w:before="300" w:after="200"/>
    </w:pPr>
    <w:rPr>
      <w:sz w:val="48"/>
      <w:szCs w:val="48"/>
    </w:rPr>
  </w:style>
  <w:style w:type="paragraph" w:styleId="919">
    <w:name w:val="annotation subject"/>
    <w:basedOn w:val="880"/>
    <w:next w:val="880"/>
    <w:link w:val="1103"/>
    <w:uiPriority w:val="0"/>
    <w:qFormat/>
    <w:rPr>
      <w:b/>
      <w:bCs/>
    </w:rPr>
  </w:style>
  <w:style w:type="paragraph" w:styleId="920">
    <w:name w:val="Body Text First Indent"/>
    <w:basedOn w:val="884"/>
    <w:link w:val="1126"/>
    <w:uiPriority w:val="0"/>
    <w:unhideWhenUsed/>
    <w:qFormat/>
    <w:pPr>
      <w:ind w:firstLine="420"/>
      <w:spacing w:after="120"/>
    </w:pPr>
    <w:rPr>
      <w:sz w:val="22"/>
      <w:szCs w:val="22"/>
    </w:rPr>
  </w:style>
  <w:style w:type="paragraph" w:styleId="921">
    <w:name w:val="Body Text First Indent 2"/>
    <w:basedOn w:val="886"/>
    <w:uiPriority w:val="0"/>
    <w:unhideWhenUsed/>
    <w:qFormat/>
    <w:pPr>
      <w:ind w:left="420" w:firstLine="420"/>
      <w:spacing w:after="120" w:line="360" w:lineRule="auto"/>
    </w:pPr>
    <w:rPr>
      <w:sz w:val="24"/>
    </w:rPr>
  </w:style>
  <w:style w:type="table" w:styleId="922">
    <w:name w:val="Table Grid"/>
    <w:basedOn w:val="8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3">
    <w:name w:val="Strong"/>
    <w:basedOn w:val="868"/>
    <w:uiPriority w:val="0"/>
    <w:qFormat/>
    <w:rPr>
      <w:b/>
    </w:rPr>
  </w:style>
  <w:style w:type="character" w:styleId="924">
    <w:name w:val="endnote reference"/>
    <w:basedOn w:val="868"/>
    <w:uiPriority w:val="0"/>
    <w:unhideWhenUsed/>
    <w:qFormat/>
    <w:rPr>
      <w:vertAlign w:val="superscript"/>
    </w:rPr>
  </w:style>
  <w:style w:type="character" w:styleId="925">
    <w:name w:val="page number"/>
    <w:uiPriority w:val="0"/>
    <w:qFormat/>
    <w:rPr>
      <w:rFonts w:ascii="Times New Roman" w:hAnsi="Times New Roman" w:eastAsia="宋体" w:cs="Times New Roman"/>
    </w:rPr>
  </w:style>
  <w:style w:type="character" w:styleId="926">
    <w:name w:val="FollowedHyperlink"/>
    <w:uiPriority w:val="0"/>
    <w:qFormat/>
    <w:rPr>
      <w:rFonts w:ascii="Times New Roman" w:hAnsi="Times New Roman" w:eastAsia="宋体" w:cs="Times New Roman"/>
      <w:color w:val="0076be"/>
      <w:u w:val="none"/>
    </w:rPr>
  </w:style>
  <w:style w:type="character" w:styleId="927">
    <w:name w:val="Emphasis"/>
    <w:basedOn w:val="868"/>
    <w:uiPriority w:val="0"/>
    <w:qFormat/>
    <w:rPr>
      <w:i/>
    </w:rPr>
  </w:style>
  <w:style w:type="character" w:styleId="928">
    <w:name w:val="line number"/>
    <w:uiPriority w:val="0"/>
    <w:qFormat/>
    <w:rPr>
      <w:rFonts w:ascii="Times New Roman" w:hAnsi="Times New Roman" w:eastAsia="宋体" w:cs="Times New Roman"/>
    </w:rPr>
  </w:style>
  <w:style w:type="character" w:styleId="929">
    <w:name w:val="HTML Definition"/>
    <w:uiPriority w:val="0"/>
    <w:qFormat/>
    <w:rPr>
      <w:rFonts w:ascii="Times New Roman" w:hAnsi="Times New Roman" w:eastAsia="宋体" w:cs="Times New Roman"/>
    </w:rPr>
  </w:style>
  <w:style w:type="character" w:styleId="930">
    <w:name w:val="HTML Typewriter"/>
    <w:uiPriority w:val="0"/>
    <w:qFormat/>
    <w:rPr>
      <w:rFonts w:ascii="宋体" w:hAnsi="宋体" w:eastAsia="宋体" w:cs="宋体"/>
      <w:sz w:val="24"/>
      <w:szCs w:val="24"/>
    </w:rPr>
  </w:style>
  <w:style w:type="character" w:styleId="931">
    <w:name w:val="HTML Acronym"/>
    <w:uiPriority w:val="0"/>
    <w:qFormat/>
    <w:rPr>
      <w:rFonts w:ascii="Times New Roman" w:hAnsi="Times New Roman" w:eastAsia="宋体" w:cs="Times New Roman"/>
    </w:rPr>
  </w:style>
  <w:style w:type="character" w:styleId="932">
    <w:name w:val="HTML Variable"/>
    <w:uiPriority w:val="0"/>
    <w:qFormat/>
    <w:rPr>
      <w:rFonts w:ascii="Times New Roman" w:hAnsi="Times New Roman" w:eastAsia="宋体" w:cs="Times New Roman"/>
    </w:rPr>
  </w:style>
  <w:style w:type="character" w:styleId="933">
    <w:name w:val="Hyperlink"/>
    <w:basedOn w:val="868"/>
    <w:uiPriority w:val="0"/>
    <w:unhideWhenUsed/>
    <w:qFormat/>
    <w:rPr>
      <w:color w:val="0000ff" w:themeColor="hyperlink"/>
      <w:u w:val="single"/>
      <w14:textFill>
        <w14:solidFill>
          <w14:schemeClr w14:val="hlink"/>
        </w14:solidFill>
      </w14:textFill>
    </w:rPr>
  </w:style>
  <w:style w:type="character" w:styleId="934">
    <w:name w:val="HTML Code"/>
    <w:uiPriority w:val="0"/>
    <w:qFormat/>
    <w:rPr>
      <w:rFonts w:ascii="Courier New" w:hAnsi="Courier New" w:eastAsia="宋体" w:cs="Times New Roman"/>
      <w:sz w:val="20"/>
    </w:rPr>
  </w:style>
  <w:style w:type="character" w:styleId="935">
    <w:name w:val="annotation reference"/>
    <w:basedOn w:val="868"/>
    <w:uiPriority w:val="0"/>
    <w:qFormat/>
    <w:rPr>
      <w:sz w:val="21"/>
      <w:szCs w:val="21"/>
    </w:rPr>
  </w:style>
  <w:style w:type="character" w:styleId="936">
    <w:name w:val="HTML Cite"/>
    <w:uiPriority w:val="0"/>
    <w:qFormat/>
    <w:rPr>
      <w:rFonts w:ascii="Times New Roman" w:hAnsi="Times New Roman" w:eastAsia="宋体" w:cs="Times New Roman"/>
    </w:rPr>
  </w:style>
  <w:style w:type="character" w:styleId="937">
    <w:name w:val="footnote reference"/>
    <w:basedOn w:val="868"/>
    <w:uiPriority w:val="0"/>
    <w:unhideWhenUsed/>
    <w:qFormat/>
    <w:rPr>
      <w:vertAlign w:val="superscript"/>
    </w:rPr>
  </w:style>
  <w:style w:type="character" w:styleId="938">
    <w:name w:val="HTML Sample"/>
    <w:uiPriority w:val="0"/>
    <w:qFormat/>
    <w:rPr>
      <w:rFonts w:ascii="Courier New" w:hAnsi="宋体" w:eastAsia="宋体" w:cs="Courier New"/>
    </w:rPr>
  </w:style>
  <w:style w:type="paragraph" w:styleId="939">
    <w:name w:val="List Paragraph"/>
    <w:basedOn w:val="858"/>
    <w:uiPriority w:val="0"/>
    <w:qFormat/>
    <w:pPr>
      <w:ind w:left="218" w:firstLine="420"/>
    </w:pPr>
  </w:style>
  <w:style w:type="character" w:styleId="940" w:customStyle="1">
    <w:name w:val="标题 1 字符"/>
    <w:basedOn w:val="868"/>
    <w:link w:val="859"/>
    <w:uiPriority w:val="0"/>
    <w:qFormat/>
    <w:rPr>
      <w:rFonts w:ascii="Arial" w:hAnsi="Arial" w:eastAsia="Arial" w:cs="Arial"/>
      <w:sz w:val="40"/>
      <w:szCs w:val="40"/>
    </w:rPr>
  </w:style>
  <w:style w:type="character" w:styleId="941" w:customStyle="1">
    <w:name w:val="标题 2 字符"/>
    <w:basedOn w:val="868"/>
    <w:link w:val="860"/>
    <w:uiPriority w:val="0"/>
    <w:qFormat/>
    <w:rPr>
      <w:rFonts w:ascii="Arial" w:hAnsi="Arial" w:eastAsia="Arial" w:cs="Arial"/>
      <w:sz w:val="34"/>
    </w:rPr>
  </w:style>
  <w:style w:type="character" w:styleId="942" w:customStyle="1">
    <w:name w:val="标题 3 字符"/>
    <w:basedOn w:val="868"/>
    <w:link w:val="861"/>
    <w:uiPriority w:val="0"/>
    <w:qFormat/>
    <w:rPr>
      <w:rFonts w:ascii="Arial" w:hAnsi="Arial" w:eastAsia="Arial" w:cs="Arial"/>
      <w:sz w:val="30"/>
      <w:szCs w:val="30"/>
    </w:rPr>
  </w:style>
  <w:style w:type="character" w:styleId="943" w:customStyle="1">
    <w:name w:val="标题 4 字符"/>
    <w:basedOn w:val="868"/>
    <w:link w:val="862"/>
    <w:uiPriority w:val="0"/>
    <w:qFormat/>
    <w:rPr>
      <w:rFonts w:ascii="Arial" w:hAnsi="Arial" w:eastAsia="Arial" w:cs="Arial"/>
      <w:b/>
      <w:bCs/>
      <w:sz w:val="26"/>
      <w:szCs w:val="26"/>
    </w:rPr>
  </w:style>
  <w:style w:type="character" w:styleId="944" w:customStyle="1">
    <w:name w:val="标题 5 字符"/>
    <w:basedOn w:val="868"/>
    <w:link w:val="863"/>
    <w:uiPriority w:val="0"/>
    <w:qFormat/>
    <w:rPr>
      <w:rFonts w:ascii="Arial" w:hAnsi="Arial" w:eastAsia="Arial" w:cs="Arial"/>
      <w:b/>
      <w:bCs/>
      <w:sz w:val="24"/>
      <w:szCs w:val="24"/>
    </w:rPr>
  </w:style>
  <w:style w:type="character" w:styleId="945" w:customStyle="1">
    <w:name w:val="标题 6 字符"/>
    <w:basedOn w:val="868"/>
    <w:link w:val="864"/>
    <w:uiPriority w:val="0"/>
    <w:qFormat/>
    <w:rPr>
      <w:rFonts w:ascii="Arial" w:hAnsi="Arial" w:eastAsia="Arial" w:cs="Arial"/>
      <w:b/>
      <w:bCs/>
      <w:sz w:val="22"/>
      <w:szCs w:val="22"/>
    </w:rPr>
  </w:style>
  <w:style w:type="character" w:styleId="946" w:customStyle="1">
    <w:name w:val="标题 7 字符"/>
    <w:basedOn w:val="868"/>
    <w:link w:val="865"/>
    <w:uiPriority w:val="0"/>
    <w:qFormat/>
    <w:rPr>
      <w:rFonts w:ascii="Arial" w:hAnsi="Arial" w:eastAsia="Arial" w:cs="Arial"/>
      <w:b/>
      <w:bCs/>
      <w:i/>
      <w:iCs/>
      <w:sz w:val="22"/>
      <w:szCs w:val="22"/>
    </w:rPr>
  </w:style>
  <w:style w:type="character" w:styleId="947" w:customStyle="1">
    <w:name w:val="标题 8 字符"/>
    <w:basedOn w:val="868"/>
    <w:link w:val="866"/>
    <w:uiPriority w:val="0"/>
    <w:qFormat/>
    <w:rPr>
      <w:rFonts w:ascii="Arial" w:hAnsi="Arial" w:eastAsia="Arial" w:cs="Arial"/>
      <w:i/>
      <w:iCs/>
      <w:sz w:val="22"/>
      <w:szCs w:val="22"/>
    </w:rPr>
  </w:style>
  <w:style w:type="character" w:styleId="948" w:customStyle="1">
    <w:name w:val="标题 9 字符"/>
    <w:basedOn w:val="868"/>
    <w:link w:val="867"/>
    <w:uiPriority w:val="0"/>
    <w:qFormat/>
    <w:rPr>
      <w:rFonts w:ascii="Arial" w:hAnsi="Arial" w:eastAsia="Arial" w:cs="Arial"/>
      <w:i/>
      <w:iCs/>
      <w:sz w:val="21"/>
      <w:szCs w:val="21"/>
    </w:rPr>
  </w:style>
  <w:style w:type="paragraph" w:styleId="949">
    <w:name w:val="No Spacing"/>
    <w:link w:val="1177"/>
    <w:uiPriority w:val="0"/>
    <w:qFormat/>
    <w:rPr>
      <w:rFonts w:ascii="Times New Roman" w:hAnsi="Times New Roman" w:eastAsia="宋体" w:cs="Times New Roman"/>
      <w:lang w:val="en-US" w:eastAsia="zh-CN" w:bidi="ar-SA"/>
    </w:rPr>
  </w:style>
  <w:style w:type="character" w:styleId="950" w:customStyle="1">
    <w:name w:val="标题 字符"/>
    <w:basedOn w:val="868"/>
    <w:link w:val="918"/>
    <w:uiPriority w:val="0"/>
    <w:qFormat/>
    <w:rPr>
      <w:sz w:val="48"/>
      <w:szCs w:val="48"/>
    </w:rPr>
  </w:style>
  <w:style w:type="character" w:styleId="951" w:customStyle="1">
    <w:name w:val="副标题 字符"/>
    <w:basedOn w:val="868"/>
    <w:link w:val="905"/>
    <w:uiPriority w:val="11"/>
    <w:qFormat/>
    <w:rPr>
      <w:sz w:val="24"/>
      <w:szCs w:val="24"/>
    </w:rPr>
  </w:style>
  <w:style w:type="paragraph" w:styleId="952">
    <w:name w:val="Quote"/>
    <w:basedOn w:val="858"/>
    <w:next w:val="858"/>
    <w:link w:val="953"/>
    <w:uiPriority w:val="0"/>
    <w:qFormat/>
    <w:pPr>
      <w:ind w:left="720" w:right="720"/>
    </w:pPr>
    <w:rPr>
      <w:i/>
    </w:rPr>
  </w:style>
  <w:style w:type="character" w:styleId="953" w:customStyle="1">
    <w:name w:val="引用 字符"/>
    <w:link w:val="952"/>
    <w:uiPriority w:val="0"/>
    <w:qFormat/>
    <w:rPr>
      <w:i/>
    </w:rPr>
  </w:style>
  <w:style w:type="paragraph" w:styleId="954">
    <w:name w:val="Intense Quote"/>
    <w:basedOn w:val="858"/>
    <w:next w:val="858"/>
    <w:link w:val="955"/>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5" w:customStyle="1">
    <w:name w:val="明显引用 字符"/>
    <w:link w:val="954"/>
    <w:uiPriority w:val="0"/>
    <w:qFormat/>
    <w:rPr>
      <w:i/>
    </w:rPr>
  </w:style>
  <w:style w:type="character" w:styleId="956" w:customStyle="1">
    <w:name w:val="页眉 字符"/>
    <w:basedOn w:val="868"/>
    <w:link w:val="899"/>
    <w:uiPriority w:val="99"/>
    <w:qFormat/>
  </w:style>
  <w:style w:type="character" w:styleId="957" w:customStyle="1">
    <w:name w:val="Footer Char"/>
    <w:basedOn w:val="868"/>
    <w:uiPriority w:val="99"/>
    <w:qFormat/>
  </w:style>
  <w:style w:type="character" w:styleId="958" w:customStyle="1">
    <w:name w:val="页脚 字符"/>
    <w:link w:val="897"/>
    <w:uiPriority w:val="0"/>
    <w:qFormat/>
  </w:style>
  <w:style w:type="table" w:styleId="959" w:customStyle="1">
    <w:name w:val="Table Grid Light"/>
    <w:basedOn w:val="8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60" w:customStyle="1">
    <w:name w:val="无格式表格 11"/>
    <w:basedOn w:val="86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1" w:customStyle="1">
    <w:name w:val="无格式表格 21"/>
    <w:basedOn w:val="8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2" w:customStyle="1">
    <w:name w:val="无格式表格 3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3" w:customStyle="1">
    <w:name w:val="无格式表格 4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4" w:customStyle="1">
    <w:name w:val="无格式表格 51"/>
    <w:basedOn w:val="86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5" w:customStyle="1">
    <w:name w:val="网格表 1 浅色1"/>
    <w:basedOn w:val="86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6" w:customStyle="1">
    <w:name w:val="Grid Table 1 Light - Accent 1"/>
    <w:basedOn w:val="8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67" w:customStyle="1">
    <w:name w:val="Grid Table 1 Light - Accent 2"/>
    <w:basedOn w:val="8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68" w:customStyle="1">
    <w:name w:val="Grid Table 1 Light - Accent 3"/>
    <w:basedOn w:val="8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69" w:customStyle="1">
    <w:name w:val="Grid Table 1 Light - Accent 4"/>
    <w:basedOn w:val="8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0" w:customStyle="1">
    <w:name w:val="Grid Table 1 Light - Accent 5"/>
    <w:basedOn w:val="8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1" w:customStyle="1">
    <w:name w:val="Grid Table 1 Light - Accent 6"/>
    <w:basedOn w:val="8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2" w:customStyle="1">
    <w:name w:val="网格表 21"/>
    <w:basedOn w:val="8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73" w:customStyle="1">
    <w:name w:val="Grid Table 2 - Accent 1"/>
    <w:basedOn w:val="8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4" w:customStyle="1">
    <w:name w:val="Grid Table 2 - Accent 2"/>
    <w:basedOn w:val="8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5" w:customStyle="1">
    <w:name w:val="Grid Table 2 - Accent 3"/>
    <w:basedOn w:val="8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76" w:customStyle="1">
    <w:name w:val="Grid Table 2 - Accent 4"/>
    <w:basedOn w:val="8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77" w:customStyle="1">
    <w:name w:val="Grid Table 2 - Accent 5"/>
    <w:basedOn w:val="8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Grid Table 2 - Accent 6"/>
    <w:basedOn w:val="8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网格表 31"/>
    <w:basedOn w:val="86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0" w:customStyle="1">
    <w:name w:val="Grid Table 3 - Accent 1"/>
    <w:basedOn w:val="869"/>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1" w:customStyle="1">
    <w:name w:val="Grid Table 3 - Accent 2"/>
    <w:basedOn w:val="869"/>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3"/>
    <w:basedOn w:val="869"/>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4"/>
    <w:basedOn w:val="8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5"/>
    <w:basedOn w:val="8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6"/>
    <w:basedOn w:val="8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网格表 41"/>
    <w:basedOn w:val="86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7" w:customStyle="1">
    <w:name w:val="Grid Table 4 - Accent 1"/>
    <w:basedOn w:val="86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88" w:customStyle="1">
    <w:name w:val="Grid Table 4 - Accent 2"/>
    <w:basedOn w:val="869"/>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89" w:customStyle="1">
    <w:name w:val="Grid Table 4 - Accent 3"/>
    <w:basedOn w:val="86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0" w:customStyle="1">
    <w:name w:val="Grid Table 4 - Accent 4"/>
    <w:basedOn w:val="86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1" w:customStyle="1">
    <w:name w:val="Grid Table 4 - Accent 5"/>
    <w:basedOn w:val="86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2" w:customStyle="1">
    <w:name w:val="Grid Table 4 - Accent 6"/>
    <w:basedOn w:val="86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3" w:customStyle="1">
    <w:name w:val="网格表 5 深色1"/>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4" w:customStyle="1">
    <w:name w:val="Grid Table 5 Dark- Accent 1"/>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5" w:customStyle="1">
    <w:name w:val="Grid Table 5 Dark - Accent 2"/>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6" w:customStyle="1">
    <w:name w:val="Grid Table 5 Dark - Accent 3"/>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7" w:customStyle="1">
    <w:name w:val="Grid Table 5 Dark- Accent 4"/>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8" w:customStyle="1">
    <w:name w:val="Grid Table 5 Dark - Accent 5"/>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99" w:customStyle="1">
    <w:name w:val="Grid Table 5 Dark - Accent 6"/>
    <w:basedOn w:val="8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0" w:customStyle="1">
    <w:name w:val="网格表 6 彩色1"/>
    <w:basedOn w:val="86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1" w:customStyle="1">
    <w:name w:val="Grid Table 6 Colorful - Accent 1"/>
    <w:basedOn w:val="86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basedOn w:val="8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basedOn w:val="869"/>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
    <w:basedOn w:val="8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basedOn w:val="86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basedOn w:val="86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网格表 7 彩色1"/>
    <w:basedOn w:val="86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Grid Table 7 Colorful - Accent 1"/>
    <w:basedOn w:val="86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9" w:customStyle="1">
    <w:name w:val="Grid Table 7 Colorful - Accent 2"/>
    <w:basedOn w:val="869"/>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0" w:customStyle="1">
    <w:name w:val="Grid Table 7 Colorful - Accent 3"/>
    <w:basedOn w:val="869"/>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1" w:customStyle="1">
    <w:name w:val="Grid Table 7 Colorful - Accent 4"/>
    <w:basedOn w:val="86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2" w:customStyle="1">
    <w:name w:val="Grid Table 7 Colorful - Accent 5"/>
    <w:basedOn w:val="86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3" w:customStyle="1">
    <w:name w:val="Grid Table 7 Colorful - Accent 6"/>
    <w:basedOn w:val="86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4" w:customStyle="1">
    <w:name w:val="清单表 1 浅色1"/>
    <w:basedOn w:val="86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5" w:customStyle="1">
    <w:name w:val="List Table 1 Light - Accent 1"/>
    <w:basedOn w:val="86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1 Light - Accent 2"/>
    <w:basedOn w:val="869"/>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7" w:customStyle="1">
    <w:name w:val="List Table 1 Light - Accent 3"/>
    <w:basedOn w:val="869"/>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8" w:customStyle="1">
    <w:name w:val="List Table 1 Light - Accent 4"/>
    <w:basedOn w:val="86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9" w:customStyle="1">
    <w:name w:val="List Table 1 Light - Accent 5"/>
    <w:basedOn w:val="86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0" w:customStyle="1">
    <w:name w:val="List Table 1 Light - Accent 6"/>
    <w:basedOn w:val="869"/>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1" w:customStyle="1">
    <w:name w:val="清单表 21"/>
    <w:basedOn w:val="86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2" w:customStyle="1">
    <w:name w:val="List Table 2 - Accent 1"/>
    <w:basedOn w:val="86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3" w:customStyle="1">
    <w:name w:val="List Table 2 - Accent 2"/>
    <w:basedOn w:val="869"/>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4" w:customStyle="1">
    <w:name w:val="List Table 2 - Accent 3"/>
    <w:basedOn w:val="86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5" w:customStyle="1">
    <w:name w:val="List Table 2 - Accent 4"/>
    <w:basedOn w:val="86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6" w:customStyle="1">
    <w:name w:val="List Table 2 - Accent 5"/>
    <w:basedOn w:val="86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7" w:customStyle="1">
    <w:name w:val="List Table 2 - Accent 6"/>
    <w:basedOn w:val="86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8" w:customStyle="1">
    <w:name w:val="清单表 31"/>
    <w:basedOn w:val="8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9" w:customStyle="1">
    <w:name w:val="List Table 3 - Accent 1"/>
    <w:basedOn w:val="86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0" w:customStyle="1">
    <w:name w:val="List Table 3 - Accent 2"/>
    <w:basedOn w:val="869"/>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1" w:customStyle="1">
    <w:name w:val="List Table 3 - Accent 3"/>
    <w:basedOn w:val="869"/>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2" w:customStyle="1">
    <w:name w:val="List Table 3 - Accent 4"/>
    <w:basedOn w:val="8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3" w:customStyle="1">
    <w:name w:val="List Table 3 - Accent 5"/>
    <w:basedOn w:val="86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4" w:customStyle="1">
    <w:name w:val="List Table 3 - Accent 6"/>
    <w:basedOn w:val="86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5" w:customStyle="1">
    <w:name w:val="清单表 41"/>
    <w:basedOn w:val="8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4 - Accent 1"/>
    <w:basedOn w:val="86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4 - Accent 2"/>
    <w:basedOn w:val="869"/>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8" w:customStyle="1">
    <w:name w:val="List Table 4 - Accent 3"/>
    <w:basedOn w:val="86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9" w:customStyle="1">
    <w:name w:val="List Table 4 - Accent 4"/>
    <w:basedOn w:val="86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0" w:customStyle="1">
    <w:name w:val="List Table 4 - Accent 5"/>
    <w:basedOn w:val="86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1" w:customStyle="1">
    <w:name w:val="List Table 4 - Accent 6"/>
    <w:basedOn w:val="86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2" w:customStyle="1">
    <w:name w:val="清单表 5 深色1"/>
    <w:basedOn w:val="86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5 Dark - Accent 1"/>
    <w:basedOn w:val="86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basedOn w:val="869"/>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basedOn w:val="869"/>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basedOn w:val="86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basedOn w:val="86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basedOn w:val="86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清单表 6 彩色1"/>
    <w:basedOn w:val="86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0" w:customStyle="1">
    <w:name w:val="List Table 6 Colorful - Accent 1"/>
    <w:basedOn w:val="869"/>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1" w:customStyle="1">
    <w:name w:val="List Table 6 Colorful - Accent 2"/>
    <w:basedOn w:val="869"/>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2" w:customStyle="1">
    <w:name w:val="List Table 6 Colorful - Accent 3"/>
    <w:basedOn w:val="869"/>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3" w:customStyle="1">
    <w:name w:val="List Table 6 Colorful - Accent 4"/>
    <w:basedOn w:val="86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4" w:customStyle="1">
    <w:name w:val="List Table 6 Colorful - Accent 5"/>
    <w:basedOn w:val="86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5" w:customStyle="1">
    <w:name w:val="List Table 6 Colorful - Accent 6"/>
    <w:basedOn w:val="86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6" w:customStyle="1">
    <w:name w:val="清单表 7 彩色1"/>
    <w:basedOn w:val="86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57" w:customStyle="1">
    <w:name w:val="List Table 7 Colorful - Accent 1"/>
    <w:basedOn w:val="869"/>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8" w:customStyle="1">
    <w:name w:val="List Table 7 Colorful - Accent 2"/>
    <w:basedOn w:val="869"/>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9" w:customStyle="1">
    <w:name w:val="List Table 7 Colorful - Accent 3"/>
    <w:basedOn w:val="869"/>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0" w:customStyle="1">
    <w:name w:val="List Table 7 Colorful - Accent 4"/>
    <w:basedOn w:val="869"/>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List Table 7 Colorful - Accent 5"/>
    <w:basedOn w:val="869"/>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2" w:customStyle="1">
    <w:name w:val="List Table 7 Colorful - Accent 6"/>
    <w:basedOn w:val="869"/>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3" w:customStyle="1">
    <w:name w:val="Lined - Accent"/>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4" w:customStyle="1">
    <w:name w:val="Lined - Accent 1"/>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5" w:customStyle="1">
    <w:name w:val="Lined - Accent 2"/>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6" w:customStyle="1">
    <w:name w:val="Lined - Accent 3"/>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7" w:customStyle="1">
    <w:name w:val="Lined - Accent 4"/>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8" w:customStyle="1">
    <w:name w:val="Lined - Accent 5"/>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9" w:customStyle="1">
    <w:name w:val="Lined - Accent 6"/>
    <w:basedOn w:val="8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0" w:customStyle="1">
    <w:name w:val="Bordered &amp; Lined - Accent"/>
    <w:basedOn w:val="86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Bordered &amp; Lined - Accent 1"/>
    <w:basedOn w:val="869"/>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Bordered &amp; Lined - Accent 2"/>
    <w:basedOn w:val="869"/>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Bordered &amp; Lined - Accent 3"/>
    <w:basedOn w:val="869"/>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Bordered &amp; Lined - Accent 4"/>
    <w:basedOn w:val="86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Bordered &amp; Lined - Accent 5"/>
    <w:basedOn w:val="86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Bordered &amp; Lined - Accent 6"/>
    <w:basedOn w:val="86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w:basedOn w:val="86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8" w:customStyle="1">
    <w:name w:val="Bordered - Accent 1"/>
    <w:basedOn w:val="869"/>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9" w:customStyle="1">
    <w:name w:val="Bordered - Accent 2"/>
    <w:basedOn w:val="869"/>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0" w:customStyle="1">
    <w:name w:val="Bordered - Accent 3"/>
    <w:basedOn w:val="8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1" w:customStyle="1">
    <w:name w:val="Bordered - Accent 4"/>
    <w:basedOn w:val="8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2" w:customStyle="1">
    <w:name w:val="Bordered - Accent 5"/>
    <w:basedOn w:val="869"/>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3" w:customStyle="1">
    <w:name w:val="Bordered - Accent 6"/>
    <w:basedOn w:val="8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4" w:customStyle="1">
    <w:name w:val="脚注文本 字符"/>
    <w:link w:val="906"/>
    <w:uiPriority w:val="99"/>
    <w:qFormat/>
    <w:rPr>
      <w:sz w:val="18"/>
    </w:rPr>
  </w:style>
  <w:style w:type="character" w:styleId="1085" w:customStyle="1">
    <w:name w:val="尾注文本 字符"/>
    <w:link w:val="895"/>
    <w:uiPriority w:val="99"/>
    <w:qFormat/>
    <w:rPr>
      <w:sz w:val="20"/>
    </w:rPr>
  </w:style>
  <w:style w:type="paragraph" w:styleId="1086" w:customStyle="1">
    <w:name w:val="TOC 标题1"/>
    <w:uiPriority w:val="39"/>
    <w:unhideWhenUsed/>
    <w:qFormat/>
    <w:rPr>
      <w:rFonts w:ascii="Times New Roman" w:hAnsi="Times New Roman" w:eastAsia="宋体" w:cs="Times New Roman"/>
      <w:lang w:val="en-US" w:eastAsia="zh-CN" w:bidi="ar-SA"/>
    </w:rPr>
  </w:style>
  <w:style w:type="table" w:styleId="1087" w:customStyle="1">
    <w:name w:val="Table Normal"/>
    <w:uiPriority w:val="0"/>
    <w:semiHidden/>
    <w:unhideWhenUsed/>
    <w:qFormat/>
    <w:tblPr>
      <w:tblCellMar>
        <w:left w:w="0" w:type="dxa"/>
        <w:top w:w="0" w:type="dxa"/>
        <w:right w:w="0" w:type="dxa"/>
        <w:bottom w:w="0" w:type="dxa"/>
      </w:tblCellMar>
    </w:tblPr>
  </w:style>
  <w:style w:type="paragraph" w:styleId="1088" w:customStyle="1">
    <w:name w:val="Table Paragraph"/>
    <w:basedOn w:val="858"/>
    <w:uiPriority w:val="1"/>
    <w:qFormat/>
  </w:style>
  <w:style w:type="character" w:styleId="1089" w:customStyle="1">
    <w:name w:val="font31"/>
    <w:basedOn w:val="868"/>
    <w:uiPriority w:val="0"/>
    <w:qFormat/>
    <w:rPr>
      <w:rFonts w:hint="default" w:ascii="Times New Roman" w:hAnsi="Times New Roman" w:cs="Times New Roman"/>
      <w:color w:val="000000"/>
      <w:sz w:val="20"/>
      <w:szCs w:val="20"/>
      <w:u w:val="none"/>
    </w:rPr>
  </w:style>
  <w:style w:type="character" w:styleId="1090" w:customStyle="1">
    <w:name w:val="font41"/>
    <w:basedOn w:val="868"/>
    <w:uiPriority w:val="0"/>
    <w:qFormat/>
    <w:rPr>
      <w:rFonts w:hint="default" w:ascii="方正仿宋简体" w:hAnsi="方正仿宋简体" w:eastAsia="方正仿宋简体" w:cs="方正仿宋简体"/>
      <w:color w:val="000000"/>
      <w:sz w:val="20"/>
      <w:szCs w:val="20"/>
      <w:u w:val="none"/>
    </w:rPr>
  </w:style>
  <w:style w:type="character" w:styleId="1091" w:customStyle="1">
    <w:name w:val="font11"/>
    <w:basedOn w:val="868"/>
    <w:uiPriority w:val="0"/>
    <w:qFormat/>
    <w:rPr>
      <w:rFonts w:hint="eastAsia" w:ascii="宋体" w:hAnsi="宋体" w:eastAsia="宋体" w:cs="宋体"/>
      <w:color w:val="000000"/>
      <w:sz w:val="20"/>
      <w:szCs w:val="20"/>
      <w:u w:val="none"/>
    </w:rPr>
  </w:style>
  <w:style w:type="character" w:styleId="1092" w:customStyle="1">
    <w:name w:val="批注框文本 字符"/>
    <w:basedOn w:val="868"/>
    <w:link w:val="896"/>
    <w:uiPriority w:val="0"/>
    <w:qFormat/>
    <w:rPr>
      <w:rFonts w:ascii="宋体" w:hAnsi="宋体" w:cs="宋体"/>
      <w:sz w:val="18"/>
      <w:szCs w:val="18"/>
      <w:lang w:val="zh-CN" w:bidi="zh-CN"/>
    </w:rPr>
  </w:style>
  <w:style w:type="paragraph" w:styleId="1093" w:customStyle="1">
    <w:name w:val="列出段落1"/>
    <w:basedOn w:val="858"/>
    <w:link w:val="1293"/>
    <w:uiPriority w:val="0"/>
    <w:qFormat/>
    <w:pPr>
      <w:ind w:firstLine="420"/>
    </w:pPr>
  </w:style>
  <w:style w:type="paragraph" w:styleId="1094" w:customStyle="1">
    <w:name w:val="标题 21"/>
    <w:basedOn w:val="858"/>
    <w:uiPriority w:val="1"/>
    <w:qFormat/>
    <w:pPr>
      <w:outlineLvl w:val="2"/>
    </w:pPr>
    <w:rPr>
      <w:rFonts w:ascii="黑体" w:hAnsi="黑体" w:eastAsia="黑体" w:cs="黑体"/>
      <w:sz w:val="36"/>
      <w:szCs w:val="36"/>
    </w:rPr>
  </w:style>
  <w:style w:type="paragraph" w:styleId="1095" w:customStyle="1">
    <w:name w:val="标题 51"/>
    <w:basedOn w:val="858"/>
    <w:uiPriority w:val="1"/>
    <w:qFormat/>
    <w:pPr>
      <w:ind w:left="638"/>
      <w:outlineLvl w:val="5"/>
    </w:pPr>
    <w:rPr>
      <w:b/>
      <w:bCs/>
      <w:sz w:val="21"/>
      <w:szCs w:val="21"/>
    </w:rPr>
  </w:style>
  <w:style w:type="paragraph" w:styleId="1096" w:customStyle="1">
    <w:name w:val="Body text|1"/>
    <w:basedOn w:val="858"/>
    <w:uiPriority w:val="0"/>
    <w:qFormat/>
    <w:pPr>
      <w:ind w:firstLine="400"/>
      <w:spacing w:after="180" w:line="410" w:lineRule="auto"/>
    </w:pPr>
    <w:rPr>
      <w:color w:val="1b1626"/>
      <w:sz w:val="30"/>
      <w:szCs w:val="30"/>
      <w:lang w:val="zh-TW" w:eastAsia="zh-TW" w:bidi="zh-TW"/>
    </w:rPr>
  </w:style>
  <w:style w:type="paragraph" w:styleId="1097" w:customStyle="1">
    <w:name w:val="Heading #2|1"/>
    <w:basedOn w:val="858"/>
    <w:uiPriority w:val="0"/>
    <w:qFormat/>
    <w:pPr>
      <w:ind w:firstLine="700"/>
      <w:spacing w:after="180" w:line="584" w:lineRule="exact"/>
      <w:outlineLvl w:val="1"/>
    </w:pPr>
    <w:rPr>
      <w:b/>
      <w:bCs/>
      <w:color w:val="1b1626"/>
      <w:sz w:val="30"/>
      <w:szCs w:val="30"/>
      <w:lang w:val="zh-TW" w:eastAsia="zh-TW" w:bidi="zh-TW"/>
    </w:rPr>
  </w:style>
  <w:style w:type="paragraph" w:styleId="1098" w:customStyle="1">
    <w:name w:val="表内文字居左"/>
    <w:basedOn w:val="858"/>
    <w:uiPriority w:val="0"/>
    <w:qFormat/>
    <w:rPr>
      <w:sz w:val="24"/>
      <w:szCs w:val="24"/>
    </w:rPr>
  </w:style>
  <w:style w:type="paragraph" w:styleId="1099" w:customStyle="1">
    <w:name w:val="正文-首缩2"/>
    <w:basedOn w:val="858"/>
    <w:uiPriority w:val="0"/>
    <w:qFormat/>
    <w:pPr>
      <w:ind w:firstLine="200"/>
      <w:spacing w:line="360" w:lineRule="auto"/>
    </w:pPr>
    <w:rPr>
      <w:rFonts w:ascii="Times New Roman" w:hAnsi="Times New Roman" w:cs="Times New Roman"/>
      <w:sz w:val="28"/>
      <w:szCs w:val="28"/>
    </w:rPr>
  </w:style>
  <w:style w:type="paragraph" w:styleId="1100" w:customStyle="1">
    <w:name w:val="正文首行缩进 211"/>
    <w:basedOn w:val="886"/>
    <w:uiPriority w:val="0"/>
    <w:qFormat/>
    <w:pPr>
      <w:ind w:firstLine="420"/>
      <w:spacing w:before="100" w:beforeAutospacing="1" w:line="360" w:lineRule="auto"/>
    </w:pPr>
    <w:rPr>
      <w:rFonts w:hAnsi="宋体"/>
      <w:sz w:val="20"/>
    </w:rPr>
  </w:style>
  <w:style w:type="paragraph" w:styleId="1101" w:customStyle="1">
    <w:name w:val="正文首行缩进 21"/>
    <w:basedOn w:val="886"/>
    <w:uiPriority w:val="0"/>
    <w:qFormat/>
    <w:pPr>
      <w:ind w:firstLine="420"/>
      <w:spacing w:before="100" w:beforeAutospacing="1" w:line="360" w:lineRule="auto"/>
    </w:pPr>
    <w:rPr>
      <w:rFonts w:hAnsi="宋体"/>
      <w:sz w:val="20"/>
    </w:rPr>
  </w:style>
  <w:style w:type="character" w:styleId="1102" w:customStyle="1">
    <w:name w:val="批注文字 字符"/>
    <w:basedOn w:val="868"/>
    <w:link w:val="880"/>
    <w:uiPriority w:val="0"/>
    <w:qFormat/>
    <w:rPr>
      <w:rFonts w:ascii="宋体" w:hAnsi="宋体" w:cs="宋体"/>
      <w:sz w:val="22"/>
      <w:szCs w:val="22"/>
      <w:lang w:val="zh-CN" w:bidi="zh-CN"/>
    </w:rPr>
  </w:style>
  <w:style w:type="character" w:styleId="1103" w:customStyle="1">
    <w:name w:val="批注主题 字符"/>
    <w:basedOn w:val="1102"/>
    <w:link w:val="919"/>
    <w:uiPriority w:val="0"/>
    <w:qFormat/>
    <w:rPr>
      <w:rFonts w:ascii="宋体" w:hAnsi="宋体" w:cs="宋体"/>
      <w:b/>
      <w:bCs/>
      <w:sz w:val="22"/>
      <w:szCs w:val="22"/>
      <w:lang w:val="zh-CN" w:bidi="zh-CN"/>
    </w:rPr>
  </w:style>
  <w:style w:type="paragraph" w:styleId="1104" w:customStyle="1">
    <w:name w:val="WPSOffice手动目录 1"/>
    <w:uiPriority w:val="0"/>
    <w:qFormat/>
    <w:rPr>
      <w:rFonts w:ascii="Times New Roman" w:hAnsi="Times New Roman" w:eastAsia="宋体" w:cs="Times New Roman"/>
      <w:lang w:val="en-US" w:eastAsia="zh-CN" w:bidi="ar-SA"/>
    </w:rPr>
  </w:style>
  <w:style w:type="paragraph" w:styleId="1105" w:customStyle="1">
    <w:name w:val="二级目录"/>
    <w:next w:val="858"/>
    <w:uiPriority w:val="0"/>
    <w:qFormat/>
    <w:pPr>
      <w:tabs>
        <w:tab w:val="left" w:pos="720" w:leader="none"/>
      </w:tabs>
      <w:outlineLvl w:val="1"/>
    </w:pPr>
    <w:rPr>
      <w:rFonts w:ascii="Calibri" w:hAnsi="Calibri" w:eastAsia="宋体" w:cs="Times New Roman"/>
      <w:b/>
      <w:sz w:val="30"/>
      <w:szCs w:val="28"/>
      <w:lang w:val="en-US" w:eastAsia="zh-CN" w:bidi="ar-SA"/>
    </w:rPr>
  </w:style>
  <w:style w:type="character" w:styleId="1106" w:customStyle="1">
    <w:name w:val="纯文本 字符"/>
    <w:basedOn w:val="868"/>
    <w:link w:val="891"/>
    <w:uiPriority w:val="0"/>
    <w:qFormat/>
    <w:rPr>
      <w:rFonts w:ascii="宋体" w:hAnsi="Courier New" w:cs="宋体"/>
      <w:sz w:val="22"/>
      <w:szCs w:val="22"/>
      <w:lang w:val="zh-CN" w:bidi="zh-CN"/>
    </w:rPr>
  </w:style>
  <w:style w:type="character" w:styleId="1107" w:customStyle="1">
    <w:name w:val="font01"/>
    <w:basedOn w:val="868"/>
    <w:uiPriority w:val="0"/>
    <w:qFormat/>
    <w:rPr>
      <w:rFonts w:hint="eastAsia" w:ascii="宋体" w:hAnsi="宋体" w:eastAsia="宋体" w:cs="宋体"/>
      <w:color w:val="000000"/>
      <w:sz w:val="22"/>
      <w:szCs w:val="22"/>
      <w:u w:val="none"/>
    </w:rPr>
  </w:style>
  <w:style w:type="paragraph" w:styleId="1108" w:customStyle="1">
    <w:name w:val="彩色列表1"/>
    <w:basedOn w:val="858"/>
    <w:uiPriority w:val="0"/>
    <w:qFormat/>
    <w:pPr>
      <w:ind w:firstLine="420"/>
    </w:pPr>
    <w:rPr>
      <w:rFonts w:ascii="Times New Roman" w:hAnsi="Times New Roman" w:cs="Times New Roman"/>
      <w:szCs w:val="21"/>
    </w:rPr>
  </w:style>
  <w:style w:type="character" w:styleId="1109" w:customStyle="1">
    <w:name w:val="15"/>
    <w:basedOn w:val="868"/>
    <w:uiPriority w:val="0"/>
    <w:qFormat/>
    <w:rPr>
      <w:rFonts w:hint="default" w:ascii="Times New Roman" w:hAnsi="Times New Roman" w:cs="Times New Roman"/>
    </w:rPr>
  </w:style>
  <w:style w:type="paragraph" w:styleId="1110" w:customStyle="1">
    <w:name w:val="Table Text"/>
    <w:basedOn w:val="858"/>
    <w:uiPriority w:val="0"/>
    <w:semiHidden/>
    <w:qFormat/>
    <w:rPr>
      <w:rFonts w:ascii="Arial" w:hAnsi="Arial" w:eastAsia="Arial" w:cs="Arial"/>
      <w:sz w:val="21"/>
      <w:szCs w:val="21"/>
      <w:lang w:val="en-US" w:eastAsia="en-US" w:bidi="ar-SA"/>
    </w:rPr>
  </w:style>
  <w:style w:type="character" w:styleId="1111" w:customStyle="1">
    <w:name w:val="font61"/>
    <w:basedOn w:val="868"/>
    <w:uiPriority w:val="0"/>
    <w:qFormat/>
    <w:rPr>
      <w:rFonts w:hint="default" w:ascii="Times New Roman" w:hAnsi="Times New Roman" w:cs="Times New Roman"/>
      <w:color w:val="000000"/>
      <w:sz w:val="20"/>
      <w:szCs w:val="20"/>
      <w:u w:val="none"/>
    </w:rPr>
  </w:style>
  <w:style w:type="character" w:styleId="1112" w:customStyle="1">
    <w:name w:val="font51"/>
    <w:basedOn w:val="868"/>
    <w:uiPriority w:val="0"/>
    <w:qFormat/>
    <w:rPr>
      <w:rFonts w:hint="eastAsia" w:ascii="微软雅黑" w:hAnsi="微软雅黑" w:eastAsia="微软雅黑" w:cs="微软雅黑"/>
      <w:color w:val="000000"/>
      <w:sz w:val="20"/>
      <w:szCs w:val="20"/>
      <w:u w:val="none"/>
    </w:rPr>
  </w:style>
  <w:style w:type="paragraph" w:styleId="1113" w:customStyle="1">
    <w:name w:val="列表段落1"/>
    <w:basedOn w:val="858"/>
    <w:uiPriority w:val="99"/>
    <w:qFormat/>
    <w:pPr>
      <w:contextualSpacing/>
      <w:ind w:left="720"/>
      <w:widowControl/>
    </w:pPr>
    <w:rPr>
      <w:rFonts w:ascii="Arial" w:hAnsi="Arial" w:eastAsia="黑体" w:cs="Times New Roman"/>
      <w:sz w:val="24"/>
      <w:szCs w:val="24"/>
      <w:lang w:val="en-US" w:eastAsia="en-US" w:bidi="ar-SA"/>
    </w:rPr>
  </w:style>
  <w:style w:type="paragraph" w:styleId="1114" w:customStyle="1">
    <w:name w:val="正文首行缩进1"/>
    <w:basedOn w:val="858"/>
    <w:uiPriority w:val="0"/>
    <w:qFormat/>
    <w:pPr>
      <w:ind w:firstLine="420"/>
      <w:spacing w:after="120" w:line="360" w:lineRule="auto"/>
    </w:pPr>
    <w:rPr>
      <w:szCs w:val="21"/>
    </w:rPr>
  </w:style>
  <w:style w:type="paragraph" w:styleId="1115" w:customStyle="1">
    <w:name w:val="修订1"/>
    <w:hidden/>
    <w:uiPriority w:val="99"/>
    <w:semiHidden/>
    <w:qFormat/>
    <w:rPr>
      <w:rFonts w:ascii="宋体" w:hAnsi="宋体" w:eastAsia="宋体" w:cs="宋体"/>
      <w:sz w:val="22"/>
      <w:szCs w:val="22"/>
      <w:lang w:val="zh-CN" w:eastAsia="zh-CN" w:bidi="zh-CN"/>
    </w:rPr>
  </w:style>
  <w:style w:type="paragraph" w:styleId="1116" w:customStyle="1">
    <w:name w:val="正文缩进1"/>
    <w:basedOn w:val="858"/>
    <w:uiPriority w:val="99"/>
    <w:qFormat/>
    <w:pPr>
      <w:ind w:firstLine="420"/>
    </w:pPr>
    <w:rPr>
      <w:szCs w:val="20"/>
    </w:rPr>
  </w:style>
  <w:style w:type="paragraph" w:styleId="1117" w:customStyle="1">
    <w:name w:val="LC主要特点"/>
    <w:basedOn w:val="858"/>
    <w:uiPriority w:val="0"/>
    <w:qFormat/>
    <w:pPr>
      <w:spacing w:before="20" w:after="20" w:line="288" w:lineRule="auto"/>
    </w:pPr>
    <w:rPr>
      <w:rFonts w:ascii="Arial" w:hAnsi="Arial" w:eastAsia="微软雅黑"/>
      <w:b/>
    </w:rPr>
  </w:style>
  <w:style w:type="paragraph" w:styleId="1118" w:customStyle="1">
    <w:name w:val="LC 文字内容 带符号编码"/>
    <w:next w:val="858"/>
    <w:uiPriority w:val="0"/>
    <w:qFormat/>
    <w:pPr>
      <w:numPr>
        <w:ilvl w:val="0"/>
        <w:numId w:val="1"/>
      </w:numPr>
      <w:ind w:left="840"/>
      <w:jc w:val="both"/>
    </w:pPr>
    <w:rPr>
      <w:rFonts w:ascii="微软雅黑" w:hAnsi="微软雅黑" w:eastAsia="微软雅黑" w:cs="微软雅黑"/>
      <w:sz w:val="21"/>
      <w:lang w:val="en-US" w:eastAsia="zh-CN" w:bidi="ar-SA"/>
    </w:rPr>
  </w:style>
  <w:style w:type="paragraph" w:styleId="1119" w:customStyle="1">
    <w:name w:val="产品手册——表"/>
    <w:uiPriority w:val="0"/>
    <w:qFormat/>
    <w:pPr>
      <w:jc w:val="center"/>
      <w:spacing w:before="20" w:after="20"/>
    </w:pPr>
    <w:rPr>
      <w:rFonts w:ascii="微软雅黑" w:hAnsi="微软雅黑" w:eastAsia="微软雅黑" w:cs="微软雅黑"/>
      <w:sz w:val="21"/>
      <w:szCs w:val="22"/>
      <w:lang w:val="en-US" w:eastAsia="zh-CN" w:bidi="ar-SA"/>
    </w:rPr>
  </w:style>
  <w:style w:type="paragraph" w:styleId="1120" w:customStyle="1">
    <w:name w:val="正文文本1"/>
    <w:basedOn w:val="858"/>
    <w:next w:val="858"/>
    <w:uiPriority w:val="99"/>
    <w:qFormat/>
    <w:pPr>
      <w:spacing w:after="120"/>
    </w:pPr>
    <w:rPr>
      <w:sz w:val="24"/>
    </w:rPr>
  </w:style>
  <w:style w:type="paragraph" w:styleId="1121" w:customStyle="1">
    <w:name w:val="标题 11"/>
    <w:basedOn w:val="858"/>
    <w:next w:val="858"/>
    <w:uiPriority w:val="99"/>
    <w:qFormat/>
    <w:pPr>
      <w:keepLines/>
      <w:keepNext/>
      <w:spacing w:before="340" w:after="330" w:line="576" w:lineRule="auto"/>
      <w:outlineLvl w:val="0"/>
    </w:pPr>
    <w:rPr>
      <w:b/>
      <w:bCs/>
      <w:sz w:val="44"/>
      <w:szCs w:val="44"/>
    </w:rPr>
  </w:style>
  <w:style w:type="character" w:styleId="1122" w:customStyle="1">
    <w:name w:val="要点1"/>
    <w:basedOn w:val="1123"/>
    <w:uiPriority w:val="99"/>
    <w:qFormat/>
    <w:rPr>
      <w:rFonts w:cs="Times New Roman"/>
      <w:b/>
    </w:rPr>
  </w:style>
  <w:style w:type="character" w:styleId="1123" w:customStyle="1">
    <w:name w:val="默认段落字体1"/>
    <w:uiPriority w:val="1"/>
    <w:unhideWhenUsed/>
    <w:qFormat/>
  </w:style>
  <w:style w:type="paragraph" w:styleId="1124" w:customStyle="1">
    <w:name w:val="普通(网站)1"/>
    <w:basedOn w:val="858"/>
    <w:uiPriority w:val="0"/>
    <w:qFormat/>
    <w:pPr>
      <w:spacing w:before="100" w:beforeAutospacing="1" w:after="100" w:afterAutospacing="1"/>
      <w:widowControl/>
    </w:pPr>
    <w:rPr>
      <w:sz w:val="24"/>
    </w:rPr>
  </w:style>
  <w:style w:type="character" w:styleId="1125" w:customStyle="1">
    <w:name w:val="正文文本 字符"/>
    <w:basedOn w:val="868"/>
    <w:link w:val="884"/>
    <w:uiPriority w:val="0"/>
    <w:qFormat/>
    <w:rPr>
      <w:rFonts w:ascii="宋体" w:hAnsi="宋体" w:cs="宋体"/>
      <w:sz w:val="21"/>
      <w:szCs w:val="21"/>
      <w:lang w:val="zh-CN" w:bidi="zh-CN"/>
    </w:rPr>
  </w:style>
  <w:style w:type="character" w:styleId="1126" w:customStyle="1">
    <w:name w:val="正文首行缩进 字符"/>
    <w:basedOn w:val="1125"/>
    <w:link w:val="920"/>
    <w:uiPriority w:val="0"/>
    <w:qFormat/>
    <w:rPr>
      <w:rFonts w:ascii="宋体" w:hAnsi="宋体" w:cs="宋体"/>
      <w:sz w:val="22"/>
      <w:szCs w:val="22"/>
      <w:lang w:val="zh-CN" w:bidi="zh-CN"/>
    </w:rPr>
  </w:style>
  <w:style w:type="character" w:styleId="1127" w:customStyle="1">
    <w:name w:val="文档结构图 字符"/>
    <w:basedOn w:val="868"/>
    <w:link w:val="878"/>
    <w:uiPriority w:val="0"/>
    <w:qFormat/>
    <w:rPr>
      <w:rFonts w:ascii="宋体" w:hAnsi="宋体" w:cs="宋体"/>
      <w:sz w:val="24"/>
      <w:szCs w:val="24"/>
      <w:shd w:val="clear" w:color="auto" w:fill="000080"/>
    </w:rPr>
  </w:style>
  <w:style w:type="character" w:styleId="1128" w:customStyle="1">
    <w:name w:val="称呼 字符"/>
    <w:basedOn w:val="868"/>
    <w:link w:val="882"/>
    <w:uiPriority w:val="0"/>
    <w:qFormat/>
    <w:rPr>
      <w:rFonts w:ascii="仿宋_GB2312" w:eastAsia="仿宋_GB2312"/>
      <w:sz w:val="28"/>
      <w:szCs w:val="24"/>
    </w:rPr>
  </w:style>
  <w:style w:type="character" w:styleId="1129" w:customStyle="1">
    <w:name w:val="正文文本 3 字符"/>
    <w:basedOn w:val="868"/>
    <w:link w:val="883"/>
    <w:uiPriority w:val="0"/>
    <w:qFormat/>
    <w:rPr>
      <w:rFonts w:ascii="仿宋_GB2312" w:hAnsi="Arial" w:eastAsia="仿宋_GB2312"/>
      <w:sz w:val="32"/>
      <w:szCs w:val="24"/>
    </w:rPr>
  </w:style>
  <w:style w:type="character" w:styleId="1130" w:customStyle="1">
    <w:name w:val="正文文本缩进 2 字符"/>
    <w:basedOn w:val="868"/>
    <w:link w:val="894"/>
    <w:uiPriority w:val="0"/>
    <w:qFormat/>
    <w:rPr>
      <w:rFonts w:ascii="Arial" w:hAnsi="Arial" w:eastAsia="仿宋_GB2312" w:cs="宋体"/>
      <w:sz w:val="32"/>
      <w:szCs w:val="24"/>
    </w:rPr>
  </w:style>
  <w:style w:type="character" w:styleId="1131" w:customStyle="1">
    <w:name w:val="签名 字符"/>
    <w:basedOn w:val="868"/>
    <w:link w:val="900"/>
    <w:uiPriority w:val="0"/>
    <w:qFormat/>
    <w:rPr>
      <w:rFonts w:eastAsia="仿宋_GB2312"/>
      <w:sz w:val="24"/>
      <w:szCs w:val="24"/>
    </w:rPr>
  </w:style>
  <w:style w:type="character" w:styleId="1132" w:customStyle="1">
    <w:name w:val="正文文本缩进 3 字符"/>
    <w:basedOn w:val="868"/>
    <w:link w:val="908"/>
    <w:uiPriority w:val="0"/>
    <w:qFormat/>
    <w:rPr>
      <w:rFonts w:ascii="Arial" w:hAnsi="Arial" w:eastAsia="仿宋_GB2312" w:cs="宋体"/>
      <w:color w:val="ffff00"/>
      <w:sz w:val="32"/>
      <w:szCs w:val="24"/>
    </w:rPr>
  </w:style>
  <w:style w:type="character" w:styleId="1133" w:customStyle="1">
    <w:name w:val="正文文本 2 字符"/>
    <w:basedOn w:val="868"/>
    <w:link w:val="914"/>
    <w:uiPriority w:val="0"/>
    <w:qFormat/>
    <w:rPr>
      <w:rFonts w:ascii="楷体_GB2312" w:eastAsia="楷体_GB2312"/>
      <w:sz w:val="28"/>
      <w:szCs w:val="24"/>
    </w:rPr>
  </w:style>
  <w:style w:type="character" w:styleId="1134" w:customStyle="1">
    <w:name w:val="HTML 预设格式 字符"/>
    <w:basedOn w:val="868"/>
    <w:link w:val="915"/>
    <w:uiPriority w:val="0"/>
    <w:qFormat/>
    <w:rPr>
      <w:rFonts w:ascii="黑体" w:hAnsi="Courier New" w:eastAsia="黑体" w:cs="Courier New"/>
      <w:szCs w:val="24"/>
    </w:rPr>
  </w:style>
  <w:style w:type="character" w:styleId="1135" w:customStyle="1">
    <w:name w:val="小四 段落 宋体 Char Char Char Char1"/>
    <w:uiPriority w:val="0"/>
    <w:qFormat/>
    <w:rPr>
      <w:rFonts w:ascii="Times New Roman" w:hAnsi="Times New Roman" w:eastAsia="宋体" w:cs="Times New Roman"/>
      <w:sz w:val="24"/>
      <w:szCs w:val="24"/>
      <w:lang w:val="en-US" w:eastAsia="zh-CN" w:bidi="ar-SA"/>
    </w:rPr>
  </w:style>
  <w:style w:type="paragraph" w:styleId="1136" w:customStyle="1">
    <w:name w:val="flName"/>
    <w:basedOn w:val="1137"/>
    <w:uiPriority w:val="0"/>
    <w:qFormat/>
    <w:pPr>
      <w:spacing w:before="0" w:line="113" w:lineRule="atLeast"/>
    </w:pPr>
    <w:rPr>
      <w:rFonts w:eastAsia="宋体"/>
    </w:rPr>
  </w:style>
  <w:style w:type="paragraph" w:styleId="1137" w:customStyle="1">
    <w:name w:val="flNote"/>
    <w:basedOn w:val="858"/>
    <w:uiPriority w:val="0"/>
    <w:qFormat/>
    <w:pPr>
      <w:ind w:firstLine="562"/>
      <w:jc w:val="center"/>
      <w:spacing w:before="567" w:line="360" w:lineRule="atLeast"/>
    </w:pPr>
    <w:rPr>
      <w:rFonts w:ascii="Times New Roman" w:hAnsi="Times New Roman" w:eastAsia="黑体" w:cs="Times New Roman"/>
      <w:b/>
      <w:sz w:val="24"/>
      <w:szCs w:val="24"/>
      <w:lang w:val="en-US" w:bidi="ar-SA"/>
    </w:rPr>
  </w:style>
  <w:style w:type="paragraph" w:styleId="1138" w:customStyle="1">
    <w:name w:val="小四 段落 宋体"/>
    <w:basedOn w:val="874"/>
    <w:uiPriority w:val="0"/>
    <w:qFormat/>
    <w:pPr>
      <w:ind w:left="113" w:right="113" w:firstLine="425"/>
      <w:jc w:val="left"/>
      <w:tabs>
        <w:tab w:val="clear" w:pos="2952" w:leader="none"/>
      </w:tabs>
    </w:pPr>
  </w:style>
  <w:style w:type="paragraph" w:styleId="1139" w:customStyle="1">
    <w:name w:val="丁华标题2"/>
    <w:basedOn w:val="860"/>
    <w:next w:val="1140"/>
    <w:uiPriority w:val="0"/>
    <w:qFormat/>
    <w:pPr>
      <w:numPr>
        <w:ilvl w:val="1"/>
        <w:numId w:val="2"/>
      </w:numPr>
      <w:ind w:firstLine="200"/>
      <w:keepLines/>
      <w:keepNext/>
      <w:spacing w:line="415" w:lineRule="auto"/>
    </w:pPr>
    <w:rPr>
      <w:rFonts w:ascii="Arial" w:hAnsi="Arial" w:eastAsia="黑体" w:cs="Times New Roman"/>
      <w:b w:val="0"/>
      <w:bCs w:val="0"/>
      <w:sz w:val="28"/>
      <w:szCs w:val="20"/>
      <w:lang w:val="en-US" w:bidi="ar-SA"/>
    </w:rPr>
  </w:style>
  <w:style w:type="paragraph" w:styleId="1140" w:customStyle="1">
    <w:name w:val="丁华正文"/>
    <w:basedOn w:val="908"/>
    <w:uiPriority w:val="0"/>
    <w:qFormat/>
    <w:pPr>
      <w:ind w:left="0" w:firstLine="510"/>
    </w:pPr>
    <w:rPr>
      <w:rFonts w:ascii="Times New Roman" w:hAnsi="Times New Roman" w:eastAsia="宋体" w:cs="Times New Roman"/>
      <w:color w:val="auto"/>
      <w:sz w:val="24"/>
      <w:szCs w:val="16"/>
    </w:rPr>
  </w:style>
  <w:style w:type="paragraph" w:styleId="1141" w:customStyle="1">
    <w:name w:val="Char Char Char Char Char Char Char Char Char"/>
    <w:basedOn w:val="858"/>
    <w:uiPriority w:val="0"/>
    <w:qFormat/>
    <w:pPr>
      <w:ind w:left="360" w:hanging="360"/>
      <w:jc w:val="both"/>
      <w:spacing w:line="360" w:lineRule="auto"/>
      <w:tabs>
        <w:tab w:val="left" w:pos="360" w:leader="none"/>
      </w:tabs>
    </w:pPr>
    <w:rPr>
      <w:rFonts w:ascii="Times New Roman" w:hAnsi="Times New Roman" w:cs="Times New Roman"/>
      <w:sz w:val="24"/>
      <w:szCs w:val="24"/>
      <w:lang w:val="en-US" w:bidi="ar-SA"/>
    </w:rPr>
  </w:style>
  <w:style w:type="paragraph" w:styleId="1142" w:customStyle="1">
    <w:name w:val="xl28"/>
    <w:basedOn w:val="858"/>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143" w:customStyle="1">
    <w:name w:val="一级标题"/>
    <w:basedOn w:val="858"/>
    <w:uiPriority w:val="0"/>
    <w:qFormat/>
    <w:pPr>
      <w:ind w:left="900" w:hanging="420"/>
      <w:jc w:val="both"/>
      <w:spacing w:line="360" w:lineRule="auto"/>
      <w:tabs>
        <w:tab w:val="left" w:pos="903" w:leader="none"/>
      </w:tabs>
    </w:pPr>
    <w:rPr>
      <w:rFonts w:ascii="Arial" w:hAnsi="Arial" w:cs="Arial"/>
      <w:sz w:val="24"/>
      <w:szCs w:val="24"/>
      <w:lang w:val="en-US" w:bidi="ar-SA"/>
    </w:rPr>
  </w:style>
  <w:style w:type="paragraph" w:styleId="1144" w:customStyle="1">
    <w:name w:val="样式 段后: 0.5 行 左  0.75 字符"/>
    <w:basedOn w:val="858"/>
    <w:uiPriority w:val="0"/>
    <w:qFormat/>
    <w:pPr>
      <w:ind w:firstLine="420"/>
      <w:jc w:val="both"/>
      <w:spacing w:line="360" w:lineRule="auto"/>
      <w:widowControl/>
    </w:pPr>
    <w:rPr>
      <w:rFonts w:ascii="Times New Roman" w:hAnsi="Arial" w:cs="Arial"/>
      <w:sz w:val="24"/>
      <w:szCs w:val="21"/>
      <w:lang w:val="en-US" w:bidi="ar-SA"/>
    </w:rPr>
  </w:style>
  <w:style w:type="paragraph" w:styleId="1145" w:customStyle="1">
    <w:name w:val="Body Text 22"/>
    <w:basedOn w:val="858"/>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146" w:customStyle="1">
    <w:name w:val="my正文"/>
    <w:basedOn w:val="858"/>
    <w:uiPriority w:val="0"/>
    <w:qFormat/>
    <w:pPr>
      <w:ind w:firstLine="480"/>
      <w:jc w:val="both"/>
      <w:spacing w:line="360" w:lineRule="auto"/>
    </w:pPr>
    <w:rPr>
      <w:rFonts w:ascii="Times New Roman" w:hAnsi="Times New Roman" w:cs="Times New Roman"/>
      <w:sz w:val="24"/>
      <w:szCs w:val="24"/>
      <w:lang w:val="en-US" w:bidi="ar-SA"/>
    </w:rPr>
  </w:style>
  <w:style w:type="paragraph" w:styleId="1147" w:customStyle="1">
    <w:name w:val="xl33"/>
    <w:basedOn w:val="858"/>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148" w:customStyle="1">
    <w:name w:val="Pa6"/>
    <w:basedOn w:val="858"/>
    <w:next w:val="858"/>
    <w:uiPriority w:val="0"/>
    <w:qFormat/>
    <w:pPr>
      <w:ind w:firstLine="562"/>
      <w:spacing w:line="241" w:lineRule="atLeast"/>
    </w:pPr>
    <w:rPr>
      <w:rFonts w:ascii="汉仪大黑简" w:hAnsi="Times New Roman" w:eastAsia="汉仪大黑简" w:cs="Times New Roman"/>
      <w:sz w:val="24"/>
      <w:szCs w:val="24"/>
      <w:lang w:val="en-US" w:bidi="ar-SA"/>
    </w:rPr>
  </w:style>
  <w:style w:type="paragraph" w:styleId="1149" w:customStyle="1">
    <w:name w:val="Char Char Char Char Char Char Char"/>
    <w:basedOn w:val="858"/>
    <w:uiPriority w:val="0"/>
    <w:qFormat/>
    <w:pPr>
      <w:ind w:firstLine="562"/>
      <w:spacing w:line="360" w:lineRule="auto"/>
    </w:pPr>
    <w:rPr>
      <w:rFonts w:ascii="Tahoma" w:hAnsi="Tahoma" w:cs="Times New Roman"/>
      <w:sz w:val="24"/>
      <w:szCs w:val="24"/>
      <w:lang w:val="en-US" w:bidi="ar-SA"/>
    </w:rPr>
  </w:style>
  <w:style w:type="paragraph" w:styleId="1150" w:customStyle="1">
    <w:name w:val="正文 首行缩进:  2 字符 Char"/>
    <w:basedOn w:val="858"/>
    <w:uiPriority w:val="0"/>
    <w:qFormat/>
    <w:pPr>
      <w:ind w:firstLine="480"/>
      <w:jc w:val="both"/>
      <w:spacing w:line="360" w:lineRule="auto"/>
    </w:pPr>
    <w:rPr>
      <w:rFonts w:ascii="Times New Roman" w:hAnsi="Times New Roman"/>
      <w:sz w:val="24"/>
      <w:szCs w:val="24"/>
      <w:lang w:val="en-US" w:bidi="ar-SA"/>
    </w:rPr>
  </w:style>
  <w:style w:type="paragraph" w:styleId="1151" w:customStyle="1">
    <w:name w:val="中等深浅网格 1 - 强调文字颜色 21"/>
    <w:basedOn w:val="858"/>
    <w:uiPriority w:val="0"/>
    <w:qFormat/>
    <w:pPr>
      <w:ind w:firstLine="420"/>
      <w:jc w:val="both"/>
      <w:spacing w:line="360" w:lineRule="auto"/>
    </w:pPr>
    <w:rPr>
      <w:rFonts w:ascii="Calibri" w:hAnsi="Calibri" w:cs="Times New Roman"/>
      <w:sz w:val="24"/>
      <w:lang w:val="en-US" w:bidi="ar-SA"/>
    </w:rPr>
  </w:style>
  <w:style w:type="character" w:styleId="1152" w:customStyle="1">
    <w:name w:val="正文文本缩进 字符"/>
    <w:link w:val="886"/>
    <w:uiPriority w:val="0"/>
    <w:qFormat/>
    <w:rPr>
      <w:rFonts w:ascii="宋体" w:hAnsi="Courier New" w:cs="宋体"/>
      <w:spacing w:val="-4"/>
      <w:sz w:val="18"/>
      <w:lang w:val="zh-CN" w:bidi="zh-CN"/>
    </w:rPr>
  </w:style>
  <w:style w:type="character" w:styleId="1153" w:customStyle="1">
    <w:name w:val="font91"/>
    <w:uiPriority w:val="0"/>
    <w:qFormat/>
    <w:rPr>
      <w:rFonts w:hint="default" w:ascii="Arial" w:hAnsi="Arial" w:eastAsia="宋体" w:cs="Arial"/>
      <w:color w:val="000000"/>
      <w:sz w:val="16"/>
      <w:szCs w:val="16"/>
      <w:u w:val="none"/>
    </w:rPr>
  </w:style>
  <w:style w:type="paragraph" w:styleId="1154" w:customStyle="1">
    <w:name w:val="Char Char1 Char"/>
    <w:basedOn w:val="858"/>
    <w:uiPriority w:val="0"/>
    <w:qFormat/>
    <w:pPr>
      <w:ind w:firstLine="562"/>
      <w:spacing w:after="160" w:line="240" w:lineRule="exact"/>
      <w:widowControl/>
    </w:pPr>
    <w:rPr>
      <w:rFonts w:ascii="Verdana" w:hAnsi="Verdana" w:cs="Times New Roman"/>
      <w:sz w:val="20"/>
      <w:szCs w:val="24"/>
      <w:lang w:val="en-US" w:eastAsia="en-US" w:bidi="ar-SA"/>
    </w:rPr>
  </w:style>
  <w:style w:type="paragraph" w:styleId="1155" w:customStyle="1">
    <w:name w:val="小四 段落 宋体 Char Char Char"/>
    <w:basedOn w:val="874"/>
    <w:uiPriority w:val="0"/>
    <w:qFormat/>
    <w:pPr>
      <w:ind w:left="0" w:right="-33" w:firstLine="545"/>
      <w:jc w:val="left"/>
      <w:tabs>
        <w:tab w:val="clear" w:pos="2952" w:leader="none"/>
      </w:tabs>
    </w:pPr>
  </w:style>
  <w:style w:type="paragraph" w:styleId="1156" w:customStyle="1">
    <w:name w:val="xl63"/>
    <w:basedOn w:val="858"/>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pBdr>
    </w:pPr>
    <w:rPr>
      <w:rFonts w:ascii="Times New Roman" w:hAnsi="Times New Roman" w:cs="Times New Roman"/>
      <w:b/>
      <w:bCs/>
      <w:sz w:val="20"/>
      <w:szCs w:val="24"/>
      <w:lang w:val="en-US" w:bidi="ar-SA"/>
    </w:rPr>
  </w:style>
  <w:style w:type="paragraph" w:styleId="1157" w:customStyle="1">
    <w:name w:val="Char Char Char Char Char Char Char Char Char Char Char"/>
    <w:basedOn w:val="858"/>
    <w:uiPriority w:val="0"/>
    <w:qFormat/>
    <w:pPr>
      <w:ind w:firstLine="562"/>
      <w:jc w:val="both"/>
      <w:spacing w:line="360" w:lineRule="auto"/>
    </w:pPr>
    <w:rPr>
      <w:rFonts w:ascii="Tahoma" w:hAnsi="Tahoma" w:cs="Tahoma"/>
      <w:sz w:val="24"/>
      <w:szCs w:val="24"/>
      <w:lang w:val="en-US" w:bidi="ar-SA"/>
    </w:rPr>
  </w:style>
  <w:style w:type="paragraph" w:styleId="1158" w:customStyle="1">
    <w:name w:val="正文2"/>
    <w:basedOn w:val="858"/>
    <w:uiPriority w:val="0"/>
    <w:qFormat/>
    <w:pPr>
      <w:ind w:firstLine="510"/>
      <w:jc w:val="both"/>
      <w:spacing w:before="156" w:line="360" w:lineRule="auto"/>
    </w:pPr>
    <w:rPr>
      <w:rFonts w:ascii="Times New Roman" w:hAnsi="Times New Roman" w:cs="Times New Roman"/>
      <w:sz w:val="24"/>
      <w:szCs w:val="24"/>
      <w:lang w:val="en-US" w:bidi="ar-SA"/>
    </w:rPr>
  </w:style>
  <w:style w:type="paragraph" w:styleId="1159" w:customStyle="1">
    <w:name w:val="行文"/>
    <w:basedOn w:val="858"/>
    <w:uiPriority w:val="0"/>
    <w:qFormat/>
    <w:pPr>
      <w:ind w:firstLine="624"/>
      <w:jc w:val="both"/>
      <w:spacing w:line="480" w:lineRule="exact"/>
    </w:pPr>
    <w:rPr>
      <w:rFonts w:ascii="Times New Roman" w:hAnsi="Times New Roman" w:eastAsia="仿宋_GB2312" w:cs="Times New Roman"/>
      <w:spacing w:val="8"/>
      <w:sz w:val="30"/>
      <w:szCs w:val="24"/>
      <w:lang w:val="en-US" w:bidi="ar-SA"/>
    </w:rPr>
  </w:style>
  <w:style w:type="paragraph" w:styleId="1160" w:customStyle="1">
    <w:name w:val="公文标题 2"/>
    <w:basedOn w:val="858"/>
    <w:next w:val="1161"/>
    <w:uiPriority w:val="0"/>
    <w:qFormat/>
    <w:pPr>
      <w:ind w:firstLine="562"/>
      <w:jc w:val="both"/>
      <w:spacing w:line="360" w:lineRule="auto"/>
      <w:outlineLvl w:val="1"/>
    </w:pPr>
    <w:rPr>
      <w:rFonts w:ascii="仿宋_GB2312" w:eastAsia="仿宋_GB2312" w:cs="Times New Roman"/>
      <w:sz w:val="28"/>
      <w:szCs w:val="24"/>
      <w:lang w:val="en-US" w:bidi="ar-SA"/>
    </w:rPr>
  </w:style>
  <w:style w:type="paragraph" w:styleId="1161" w:customStyle="1">
    <w:name w:val="公文正文"/>
    <w:basedOn w:val="886"/>
    <w:uiPriority w:val="0"/>
    <w:qFormat/>
    <w:pPr>
      <w:ind w:firstLine="200"/>
      <w:jc w:val="both"/>
      <w:spacing w:line="360" w:lineRule="auto"/>
    </w:pPr>
    <w:rPr>
      <w:rFonts w:ascii="仿宋_GB2312" w:hAnsi="宋体" w:eastAsia="仿宋_GB2312" w:cs="Times New Roman"/>
      <w:spacing w:val="0"/>
      <w:sz w:val="28"/>
      <w:szCs w:val="24"/>
      <w:lang w:val="en-US" w:bidi="ar-SA"/>
    </w:rPr>
  </w:style>
  <w:style w:type="paragraph" w:styleId="1162" w:customStyle="1">
    <w:name w:val="xl35"/>
    <w:basedOn w:val="858"/>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163" w:customStyle="1">
    <w:name w:val="标准小四"/>
    <w:basedOn w:val="858"/>
    <w:uiPriority w:val="0"/>
    <w:qFormat/>
    <w:pPr>
      <w:ind w:firstLine="480"/>
      <w:jc w:val="both"/>
      <w:spacing w:line="360" w:lineRule="auto"/>
    </w:pPr>
    <w:rPr>
      <w:rFonts w:ascii="Arial" w:hAnsi="Arial" w:cs="Times New Roman"/>
      <w:sz w:val="24"/>
      <w:szCs w:val="21"/>
      <w:lang w:val="en-US" w:bidi="ar-SA"/>
    </w:rPr>
  </w:style>
  <w:style w:type="character" w:styleId="1164" w:customStyle="1">
    <w:name w:val="font71"/>
    <w:uiPriority w:val="0"/>
    <w:qFormat/>
    <w:rPr>
      <w:rFonts w:hint="default" w:ascii="Times New Roman" w:hAnsi="Times New Roman" w:eastAsia="宋体" w:cs="Times New Roman"/>
      <w:color w:val="000000"/>
      <w:sz w:val="22"/>
      <w:szCs w:val="22"/>
      <w:u w:val="none"/>
    </w:rPr>
  </w:style>
  <w:style w:type="paragraph" w:styleId="1165" w:customStyle="1">
    <w:name w:val="_Style 42"/>
    <w:basedOn w:val="858"/>
    <w:next w:val="884"/>
    <w:uiPriority w:val="0"/>
    <w:qFormat/>
    <w:pPr>
      <w:ind w:firstLine="562"/>
      <w:jc w:val="both"/>
      <w:spacing w:line="360" w:lineRule="auto"/>
    </w:pPr>
    <w:rPr>
      <w:rFonts w:ascii="楷体_GB2312" w:hAnsi="Arial" w:eastAsia="楷体_GB2312" w:cs="Times New Roman"/>
      <w:sz w:val="28"/>
      <w:szCs w:val="24"/>
      <w:lang w:val="en-US" w:bidi="ar-SA"/>
    </w:rPr>
  </w:style>
  <w:style w:type="paragraph" w:styleId="1166" w:customStyle="1">
    <w:name w:val="greytypebeni"/>
    <w:basedOn w:val="858"/>
    <w:uiPriority w:val="0"/>
    <w:qFormat/>
    <w:pPr>
      <w:ind w:firstLine="562"/>
      <w:spacing w:line="360" w:lineRule="auto"/>
      <w:widowControl/>
    </w:pPr>
    <w:rPr>
      <w:sz w:val="24"/>
      <w:szCs w:val="24"/>
      <w:lang w:val="en-US" w:bidi="ar-SA"/>
    </w:rPr>
  </w:style>
  <w:style w:type="paragraph" w:styleId="1167" w:customStyle="1">
    <w:name w:val="方案正文"/>
    <w:basedOn w:val="858"/>
    <w:uiPriority w:val="0"/>
    <w:qFormat/>
    <w:pPr>
      <w:ind w:firstLine="359"/>
      <w:spacing w:before="156" w:line="360" w:lineRule="auto"/>
    </w:pPr>
    <w:rPr>
      <w:rFonts w:ascii="Arial" w:hAnsi="Arial"/>
      <w:sz w:val="24"/>
      <w:szCs w:val="21"/>
      <w:lang w:val="en-US" w:bidi="ar-SA"/>
    </w:rPr>
  </w:style>
  <w:style w:type="paragraph" w:styleId="1168" w:customStyle="1">
    <w:name w:val="7"/>
    <w:basedOn w:val="858"/>
    <w:next w:val="916"/>
    <w:uiPriority w:val="0"/>
    <w:qFormat/>
    <w:pPr>
      <w:ind w:firstLine="562"/>
      <w:spacing w:before="100" w:beforeAutospacing="1" w:after="100" w:afterAutospacing="1" w:line="360" w:lineRule="auto"/>
      <w:widowControl/>
    </w:pPr>
    <w:rPr>
      <w:rFonts w:cs="Times New Roman"/>
      <w:sz w:val="24"/>
      <w:szCs w:val="24"/>
      <w:lang w:val="en-US" w:bidi="ar-SA"/>
    </w:rPr>
  </w:style>
  <w:style w:type="paragraph" w:styleId="1169" w:customStyle="1">
    <w:name w:val="Char Char Char Char Char Char Char Char Char Char Char Char Char Char Char Char Char Char Char Char Char Char Char"/>
    <w:basedOn w:val="858"/>
    <w:uiPriority w:val="0"/>
    <w:qFormat/>
    <w:pPr>
      <w:ind w:firstLine="562"/>
      <w:jc w:val="both"/>
      <w:spacing w:line="360" w:lineRule="auto"/>
    </w:pPr>
    <w:rPr>
      <w:rFonts w:ascii="Tahoma" w:hAnsi="Tahoma" w:cs="Tahoma"/>
      <w:sz w:val="24"/>
      <w:szCs w:val="24"/>
      <w:lang w:val="en-US" w:bidi="ar-SA"/>
    </w:rPr>
  </w:style>
  <w:style w:type="paragraph" w:styleId="1170" w:customStyle="1">
    <w:name w:val="样式 段后: 0.25 行"/>
    <w:basedOn w:val="858"/>
    <w:uiPriority w:val="0"/>
    <w:qFormat/>
    <w:pPr>
      <w:ind w:firstLine="420"/>
      <w:spacing w:after="78" w:line="300" w:lineRule="auto"/>
      <w:widowControl/>
    </w:pPr>
    <w:rPr>
      <w:rFonts w:ascii="Arial" w:hAnsi="Arial"/>
      <w:szCs w:val="24"/>
      <w:lang w:val="en-US" w:eastAsia="en-US" w:bidi="en-US"/>
    </w:rPr>
  </w:style>
  <w:style w:type="character" w:styleId="1171" w:customStyle="1">
    <w:name w:val="标准小四 Char"/>
    <w:uiPriority w:val="0"/>
    <w:qFormat/>
    <w:rPr>
      <w:rFonts w:ascii="Arial" w:hAnsi="Arial" w:eastAsia="宋体" w:cs="Times New Roman"/>
      <w:sz w:val="24"/>
      <w:szCs w:val="21"/>
      <w:lang w:val="en-US" w:eastAsia="zh-CN" w:bidi="ar-SA"/>
    </w:rPr>
  </w:style>
  <w:style w:type="character" w:styleId="1172" w:customStyle="1">
    <w:name w:val="纯文本 Char1"/>
    <w:uiPriority w:val="0"/>
    <w:qFormat/>
    <w:rPr>
      <w:rFonts w:ascii="宋体" w:hAnsi="Courier New" w:eastAsia="宋体" w:cs="Courier New"/>
      <w:sz w:val="21"/>
      <w:szCs w:val="21"/>
    </w:rPr>
  </w:style>
  <w:style w:type="paragraph" w:styleId="1173" w:customStyle="1">
    <w:name w:val="xl61"/>
    <w:basedOn w:val="858"/>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174" w:customStyle="1">
    <w:name w:val="马刚标题1"/>
    <w:basedOn w:val="859"/>
    <w:next w:val="858"/>
    <w:uiPriority w:val="0"/>
    <w:qFormat/>
    <w:pPr>
      <w:ind w:left="567" w:right="0" w:hanging="567"/>
      <w:jc w:val="left"/>
      <w:keepLines/>
      <w:keepNext/>
      <w:spacing w:before="400" w:after="120" w:line="576" w:lineRule="auto"/>
      <w:tabs>
        <w:tab w:val="left" w:pos="315" w:leader="none"/>
        <w:tab w:val="left" w:pos="567" w:leader="none"/>
      </w:tabs>
    </w:pPr>
    <w:rPr>
      <w:rFonts w:ascii="Times New Roman" w:hAnsi="Times New Roman" w:cs="Times New Roman"/>
      <w:b w:val="0"/>
      <w:bCs w:val="0"/>
      <w:sz w:val="32"/>
      <w:szCs w:val="20"/>
      <w:lang w:val="en-US" w:bidi="ar-SA"/>
    </w:rPr>
  </w:style>
  <w:style w:type="paragraph" w:styleId="1175" w:customStyle="1">
    <w:name w:val="xl59"/>
    <w:basedOn w:val="858"/>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176" w:customStyle="1">
    <w:name w:val="h Char Char"/>
    <w:uiPriority w:val="0"/>
    <w:qFormat/>
    <w:rPr>
      <w:rFonts w:ascii="Times New Roman" w:hAnsi="Times New Roman" w:eastAsia="宋体" w:cs="Times New Roman"/>
      <w:sz w:val="18"/>
      <w:szCs w:val="18"/>
      <w:lang w:val="en-US" w:eastAsia="zh-CN" w:bidi="ar-SA"/>
    </w:rPr>
  </w:style>
  <w:style w:type="character" w:styleId="1177" w:customStyle="1">
    <w:name w:val="无间隔 字符"/>
    <w:link w:val="949"/>
    <w:uiPriority w:val="0"/>
    <w:qFormat/>
  </w:style>
  <w:style w:type="paragraph" w:styleId="1178" w:customStyle="1">
    <w:name w:val="xl43"/>
    <w:basedOn w:val="858"/>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b/>
      <w:bCs/>
      <w:sz w:val="20"/>
      <w:szCs w:val="24"/>
      <w:lang w:val="en-US" w:bidi="ar-SA"/>
    </w:rPr>
  </w:style>
  <w:style w:type="paragraph" w:styleId="1179" w:customStyle="1">
    <w:name w:val="新图表正文"/>
    <w:link w:val="1191"/>
    <w:uiPriority w:val="0"/>
    <w:qFormat/>
    <w:pPr>
      <w:jc w:val="both"/>
    </w:pPr>
    <w:rPr>
      <w:rFonts w:ascii="宋体" w:hAnsi="宋体" w:eastAsia="宋体" w:cs="Times New Roman"/>
      <w:sz w:val="18"/>
      <w:szCs w:val="21"/>
      <w:lang w:val="en-US" w:eastAsia="zh-CN" w:bidi="ar-SA"/>
    </w:rPr>
  </w:style>
  <w:style w:type="character" w:styleId="1180" w:customStyle="1">
    <w:name w:val="小四 段落 宋体 Char Char Char Char Char Char Char Char"/>
    <w:uiPriority w:val="0"/>
    <w:qFormat/>
    <w:rPr>
      <w:rFonts w:ascii="Times New Roman" w:hAnsi="Times New Roman" w:eastAsia="宋体" w:cs="Times New Roman"/>
      <w:sz w:val="24"/>
      <w:szCs w:val="24"/>
      <w:lang w:val="en-US" w:eastAsia="zh-CN" w:bidi="ar-SA"/>
    </w:rPr>
  </w:style>
  <w:style w:type="paragraph" w:styleId="1181" w:customStyle="1">
    <w:name w:val="正文 首行缩进:  2 字符 Char Char"/>
    <w:basedOn w:val="858"/>
    <w:uiPriority w:val="0"/>
    <w:qFormat/>
    <w:pPr>
      <w:ind w:firstLine="480"/>
      <w:jc w:val="both"/>
      <w:spacing w:line="360" w:lineRule="auto"/>
    </w:pPr>
    <w:rPr>
      <w:rFonts w:ascii="楷体_GB2312" w:hAnsi="Times New Roman" w:eastAsia="楷体_GB2312" w:cs="Times New Roman"/>
      <w:bCs/>
      <w:sz w:val="24"/>
      <w:szCs w:val="24"/>
      <w:lang w:val="en-US" w:bidi="ar-SA"/>
    </w:rPr>
  </w:style>
  <w:style w:type="paragraph" w:styleId="1182" w:customStyle="1">
    <w:name w:val="￥正文"/>
    <w:basedOn w:val="858"/>
    <w:link w:val="1321"/>
    <w:uiPriority w:val="0"/>
    <w:qFormat/>
    <w:pPr>
      <w:ind w:firstLine="200"/>
      <w:jc w:val="both"/>
      <w:spacing w:line="360" w:lineRule="auto"/>
    </w:pPr>
    <w:rPr>
      <w:sz w:val="24"/>
      <w:szCs w:val="24"/>
      <w:lang w:val="en-US" w:bidi="ar-SA"/>
    </w:rPr>
  </w:style>
  <w:style w:type="paragraph" w:styleId="1183" w:customStyle="1">
    <w:name w:val="样式 首行缩进:  2 字符"/>
    <w:basedOn w:val="858"/>
    <w:link w:val="1192"/>
    <w:uiPriority w:val="0"/>
    <w:qFormat/>
    <w:pPr>
      <w:ind w:firstLine="480"/>
      <w:jc w:val="both"/>
      <w:spacing w:line="360" w:lineRule="auto"/>
    </w:pPr>
    <w:rPr>
      <w:sz w:val="24"/>
      <w:szCs w:val="24"/>
      <w:lang w:val="en-US" w:bidi="ar-SA"/>
    </w:rPr>
  </w:style>
  <w:style w:type="paragraph" w:styleId="1184" w:customStyle="1">
    <w:name w:val="xl49"/>
    <w:basedOn w:val="858"/>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sz w:val="20"/>
      <w:szCs w:val="24"/>
      <w:lang w:val="en-US" w:bidi="ar-SA"/>
    </w:rPr>
  </w:style>
  <w:style w:type="paragraph" w:styleId="1185" w:customStyle="1">
    <w:name w:val="06列出段落"/>
    <w:basedOn w:val="858"/>
    <w:next w:val="939"/>
    <w:uiPriority w:val="0"/>
    <w:qFormat/>
    <w:pPr>
      <w:ind w:firstLine="420"/>
      <w:jc w:val="both"/>
      <w:spacing w:line="360" w:lineRule="auto"/>
    </w:pPr>
    <w:rPr>
      <w:rFonts w:ascii="Calibri" w:hAnsi="Calibri" w:cs="Times New Roman"/>
      <w:sz w:val="24"/>
      <w:szCs w:val="24"/>
      <w:lang w:val="en-US" w:bidi="ar-SA"/>
    </w:rPr>
  </w:style>
  <w:style w:type="paragraph" w:styleId="1186" w:customStyle="1">
    <w:name w:val="retrait3"/>
    <w:basedOn w:val="858"/>
    <w:uiPriority w:val="0"/>
    <w:qFormat/>
    <w:pPr>
      <w:ind w:left="851" w:firstLine="562"/>
      <w:spacing w:before="20" w:after="20" w:line="360" w:lineRule="auto"/>
      <w:widowControl/>
    </w:pPr>
    <w:rPr>
      <w:rFonts w:ascii="Arial" w:hAnsi="Arial" w:cs="Times New Roman"/>
      <w:sz w:val="24"/>
      <w:szCs w:val="24"/>
      <w:lang w:val="en-GB" w:bidi="ar-SA"/>
    </w:rPr>
  </w:style>
  <w:style w:type="paragraph" w:styleId="1187" w:customStyle="1">
    <w:name w:val="默认段落字体 Para Char Char Char Char Char Char Char"/>
    <w:basedOn w:val="858"/>
    <w:uiPriority w:val="0"/>
    <w:qFormat/>
    <w:pPr>
      <w:ind w:firstLine="562"/>
      <w:jc w:val="both"/>
      <w:spacing w:line="360" w:lineRule="auto"/>
    </w:pPr>
    <w:rPr>
      <w:rFonts w:ascii="Times New Roman" w:hAnsi="Times New Roman" w:cs="Times New Roman"/>
      <w:sz w:val="24"/>
      <w:szCs w:val="24"/>
      <w:lang w:val="en-US" w:bidi="ar-SA"/>
    </w:rPr>
  </w:style>
  <w:style w:type="paragraph" w:styleId="1188" w:customStyle="1">
    <w:name w:val="文档正文"/>
    <w:basedOn w:val="858"/>
    <w:uiPriority w:val="0"/>
    <w:qFormat/>
    <w:pPr>
      <w:ind w:firstLine="562"/>
      <w:jc w:val="both"/>
      <w:spacing w:line="360" w:lineRule="auto"/>
    </w:pPr>
    <w:rPr>
      <w:rFonts w:cs="Times New Roman"/>
      <w:b/>
      <w:bCs/>
      <w:sz w:val="24"/>
      <w:szCs w:val="24"/>
      <w:lang w:val="en-US" w:bidi="ar-SA"/>
    </w:rPr>
  </w:style>
  <w:style w:type="character" w:styleId="1189" w:customStyle="1">
    <w:name w:val="font21"/>
    <w:basedOn w:val="868"/>
    <w:uiPriority w:val="0"/>
    <w:qFormat/>
    <w:rPr>
      <w:rFonts w:hint="default" w:ascii="Times New Roman" w:hAnsi="Times New Roman" w:eastAsia="宋体" w:cs="Times New Roman"/>
      <w:color w:val="000000"/>
      <w:sz w:val="22"/>
      <w:szCs w:val="22"/>
      <w:u w:val="none"/>
      <w:vertAlign w:val="superscript"/>
    </w:rPr>
  </w:style>
  <w:style w:type="character" w:styleId="1190" w:customStyle="1">
    <w:name w:val="小四 段落 宋体 Char Char Char Char Char"/>
    <w:uiPriority w:val="0"/>
    <w:qFormat/>
    <w:rPr>
      <w:rFonts w:ascii="Times New Roman" w:hAnsi="Times New Roman" w:eastAsia="宋体" w:cs="Times New Roman"/>
      <w:sz w:val="24"/>
      <w:szCs w:val="24"/>
      <w:lang w:val="en-US" w:eastAsia="zh-CN" w:bidi="ar-SA"/>
    </w:rPr>
  </w:style>
  <w:style w:type="character" w:styleId="1191" w:customStyle="1">
    <w:name w:val="新图表正文 Char Char"/>
    <w:link w:val="1179"/>
    <w:uiPriority w:val="0"/>
    <w:qFormat/>
    <w:rPr>
      <w:rFonts w:ascii="宋体" w:hAnsi="宋体"/>
      <w:sz w:val="18"/>
      <w:szCs w:val="21"/>
    </w:rPr>
  </w:style>
  <w:style w:type="character" w:styleId="1192" w:customStyle="1">
    <w:name w:val="样式 首行缩进:  2 字符 Char Char"/>
    <w:link w:val="1183"/>
    <w:uiPriority w:val="0"/>
    <w:qFormat/>
    <w:rPr>
      <w:rFonts w:ascii="宋体" w:hAnsi="宋体" w:cs="宋体"/>
      <w:sz w:val="24"/>
      <w:szCs w:val="24"/>
    </w:rPr>
  </w:style>
  <w:style w:type="paragraph" w:styleId="1193" w:customStyle="1">
    <w:name w:val="小四 段落 宋体 Char Char Char Char"/>
    <w:basedOn w:val="858"/>
    <w:uiPriority w:val="0"/>
    <w:qFormat/>
    <w:pPr>
      <w:ind w:right="-33" w:firstLine="480"/>
      <w:spacing w:line="360" w:lineRule="auto"/>
    </w:pPr>
    <w:rPr>
      <w:rFonts w:ascii="Times New Roman" w:hAnsi="Times New Roman" w:cs="Times New Roman"/>
      <w:sz w:val="24"/>
      <w:szCs w:val="24"/>
      <w:lang w:val="en-US" w:bidi="ar-SA"/>
    </w:rPr>
  </w:style>
  <w:style w:type="paragraph" w:styleId="1194" w:customStyle="1">
    <w:name w:val="讲话正文"/>
    <w:basedOn w:val="858"/>
    <w:uiPriority w:val="0"/>
    <w:qFormat/>
    <w:pPr>
      <w:ind w:firstLine="200"/>
      <w:jc w:val="both"/>
      <w:spacing w:line="360" w:lineRule="auto"/>
    </w:pPr>
    <w:rPr>
      <w:rFonts w:ascii="仿宋" w:hAnsi="仿宋" w:eastAsia="仿宋"/>
      <w:sz w:val="32"/>
      <w:szCs w:val="32"/>
      <w:lang w:val="en-US" w:bidi="ar-SA"/>
    </w:rPr>
  </w:style>
  <w:style w:type="paragraph" w:styleId="1195" w:customStyle="1">
    <w:name w:val="tableau"/>
    <w:basedOn w:val="858"/>
    <w:uiPriority w:val="0"/>
    <w:qFormat/>
    <w:pPr>
      <w:ind w:firstLine="562"/>
      <w:jc w:val="center"/>
      <w:spacing w:before="20" w:after="20" w:line="360" w:lineRule="auto"/>
      <w:widowControl/>
    </w:pPr>
    <w:rPr>
      <w:rFonts w:ascii="Arial" w:hAnsi="Arial" w:cs="Times New Roman"/>
      <w:sz w:val="16"/>
      <w:szCs w:val="24"/>
      <w:lang w:val="en-GB" w:eastAsia="en-US" w:bidi="ar-SA"/>
    </w:rPr>
  </w:style>
  <w:style w:type="paragraph" w:styleId="1196" w:customStyle="1">
    <w:name w:val="Char Char Char Char Char Char Char Char"/>
    <w:basedOn w:val="858"/>
    <w:uiPriority w:val="0"/>
    <w:qFormat/>
    <w:pPr>
      <w:ind w:firstLine="562"/>
      <w:jc w:val="both"/>
      <w:spacing w:line="360" w:lineRule="auto"/>
    </w:pPr>
    <w:rPr>
      <w:rFonts w:ascii="Tahoma" w:hAnsi="Tahoma" w:cs="Times New Roman"/>
      <w:sz w:val="24"/>
      <w:szCs w:val="24"/>
      <w:lang w:val="en-US" w:bidi="ar-SA"/>
    </w:rPr>
  </w:style>
  <w:style w:type="paragraph" w:styleId="1197" w:customStyle="1">
    <w:name w:val="Char Char Char Char Char Char Char Char Char Char Char Char Char Char"/>
    <w:basedOn w:val="858"/>
    <w:uiPriority w:val="0"/>
    <w:qFormat/>
    <w:pPr>
      <w:ind w:firstLine="562"/>
      <w:jc w:val="both"/>
      <w:spacing w:line="360" w:lineRule="auto"/>
    </w:pPr>
    <w:rPr>
      <w:rFonts w:ascii="Tahoma" w:hAnsi="Tahoma" w:cs="Tahoma"/>
      <w:sz w:val="24"/>
      <w:szCs w:val="24"/>
      <w:lang w:val="en-US" w:bidi="ar-SA"/>
    </w:rPr>
  </w:style>
  <w:style w:type="character" w:styleId="1198" w:customStyle="1">
    <w:name w:val="正文 + 宋体 Char"/>
    <w:uiPriority w:val="0"/>
    <w:qFormat/>
    <w:rPr>
      <w:rFonts w:ascii="Times New Roman" w:hAnsi="Times New Roman" w:eastAsia="宋体" w:cs="Times New Roman"/>
      <w:sz w:val="21"/>
      <w:szCs w:val="24"/>
      <w:lang w:val="en-US" w:eastAsia="zh-CN" w:bidi="ar-SA"/>
    </w:rPr>
  </w:style>
  <w:style w:type="character" w:styleId="1199" w:customStyle="1">
    <w:name w:val="A2"/>
    <w:uiPriority w:val="0"/>
    <w:qFormat/>
    <w:rPr>
      <w:rFonts w:ascii="Times New Roman" w:hAnsi="Times New Roman" w:eastAsia="宋体" w:cs="Helvetica"/>
      <w:color w:val="000000"/>
      <w:sz w:val="18"/>
      <w:szCs w:val="18"/>
    </w:rPr>
  </w:style>
  <w:style w:type="character" w:styleId="1200" w:customStyle="1">
    <w:name w:val="subtitle1"/>
    <w:uiPriority w:val="0"/>
    <w:qFormat/>
    <w:rPr>
      <w:rFonts w:hint="default" w:ascii="Georgia" w:hAnsi="Georgia" w:eastAsia="宋体" w:cs="Times New Roman"/>
      <w:b/>
      <w:bCs/>
      <w:color w:val="666666"/>
      <w:sz w:val="18"/>
      <w:szCs w:val="18"/>
    </w:rPr>
  </w:style>
  <w:style w:type="paragraph" w:styleId="1201" w:customStyle="1">
    <w:name w:val="二级标题"/>
    <w:basedOn w:val="858"/>
    <w:uiPriority w:val="0"/>
    <w:qFormat/>
    <w:pPr>
      <w:ind w:firstLine="482"/>
      <w:spacing w:line="300" w:lineRule="auto"/>
      <w:widowControl/>
      <w:outlineLvl w:val="1"/>
    </w:pPr>
    <w:rPr>
      <w:rFonts w:cs="Times New Roman"/>
      <w:b/>
      <w:color w:val="000000"/>
      <w:sz w:val="24"/>
      <w:szCs w:val="24"/>
      <w:lang w:val="en-US" w:bidi="ar-SA"/>
    </w:rPr>
  </w:style>
  <w:style w:type="paragraph" w:styleId="1202" w:customStyle="1">
    <w:name w:val="标题4，章节第四层"/>
    <w:basedOn w:val="858"/>
    <w:next w:val="858"/>
    <w:uiPriority w:val="0"/>
    <w:qFormat/>
    <w:pPr>
      <w:ind w:firstLine="562"/>
      <w:jc w:val="both"/>
      <w:spacing w:line="360" w:lineRule="auto"/>
      <w:tabs>
        <w:tab w:val="left" w:pos="0" w:leader="none"/>
      </w:tabs>
      <w:outlineLvl w:val="3"/>
    </w:pPr>
    <w:rPr>
      <w:rFonts w:cs="Times New Roman"/>
      <w:b/>
      <w:sz w:val="24"/>
      <w:szCs w:val="24"/>
      <w:lang w:val="en-US" w:bidi="ar-SA"/>
    </w:rPr>
  </w:style>
  <w:style w:type="paragraph" w:styleId="1203" w:customStyle="1">
    <w:name w:val="正文格式"/>
    <w:basedOn w:val="858"/>
    <w:uiPriority w:val="0"/>
    <w:qFormat/>
    <w:pPr>
      <w:ind w:left="178" w:right="44" w:hanging="178"/>
      <w:spacing w:before="78" w:line="360" w:lineRule="auto"/>
      <w:widowControl/>
    </w:pPr>
    <w:rPr>
      <w:rFonts w:cs="Times New Roman"/>
      <w:bCs/>
      <w:sz w:val="24"/>
      <w:szCs w:val="21"/>
      <w:lang w:val="en-US" w:bidi="ar-SA"/>
    </w:rPr>
  </w:style>
  <w:style w:type="character" w:styleId="1204" w:customStyle="1">
    <w:name w:val="Char Char29"/>
    <w:uiPriority w:val="0"/>
    <w:qFormat/>
    <w:rPr>
      <w:rFonts w:ascii="Times New Roman" w:hAnsi="Times New Roman" w:eastAsia="宋体" w:cs="Times New Roman"/>
      <w:b/>
      <w:bCs/>
      <w:sz w:val="44"/>
      <w:szCs w:val="44"/>
    </w:rPr>
  </w:style>
  <w:style w:type="paragraph" w:styleId="1205" w:customStyle="1">
    <w:name w:val="段 Char"/>
    <w:uiPriority w:val="0"/>
    <w:qFormat/>
    <w:pPr>
      <w:ind w:firstLine="200"/>
      <w:jc w:val="both"/>
    </w:pPr>
    <w:rPr>
      <w:rFonts w:ascii="宋体" w:hAnsi="Times New Roman" w:eastAsia="宋体" w:cs="Times New Roman"/>
      <w:sz w:val="21"/>
      <w:lang w:val="en-US" w:eastAsia="zh-CN" w:bidi="ar-SA"/>
    </w:rPr>
  </w:style>
  <w:style w:type="character" w:styleId="1206" w:customStyle="1">
    <w:name w:val="小四 段落 宋体 Char Char Char Char Char Char"/>
    <w:uiPriority w:val="0"/>
    <w:qFormat/>
    <w:rPr>
      <w:rFonts w:ascii="Times New Roman" w:hAnsi="Times New Roman" w:eastAsia="宋体" w:cs="Times New Roman"/>
      <w:sz w:val="24"/>
      <w:szCs w:val="24"/>
      <w:lang w:val="en-US" w:eastAsia="zh-CN" w:bidi="ar-SA"/>
    </w:rPr>
  </w:style>
  <w:style w:type="paragraph" w:styleId="1207" w:customStyle="1">
    <w:name w:val="List Paragraph1"/>
    <w:basedOn w:val="858"/>
    <w:uiPriority w:val="0"/>
    <w:qFormat/>
    <w:pPr>
      <w:contextualSpacing/>
      <w:ind w:left="720" w:firstLine="562"/>
      <w:spacing w:line="360" w:lineRule="auto"/>
      <w:widowControl/>
    </w:pPr>
    <w:rPr>
      <w:rFonts w:ascii="Arial" w:hAnsi="Arial" w:eastAsia="黑体" w:cs="Times New Roman"/>
      <w:sz w:val="24"/>
      <w:szCs w:val="24"/>
      <w:lang w:val="en-US" w:eastAsia="en-US" w:bidi="ar-SA"/>
    </w:rPr>
  </w:style>
  <w:style w:type="character" w:styleId="1208" w:customStyle="1">
    <w:name w:val="l-over"/>
    <w:uiPriority w:val="0"/>
    <w:qFormat/>
    <w:rPr>
      <w:rFonts w:ascii="Times New Roman" w:hAnsi="Times New Roman" w:eastAsia="宋体" w:cs="Times New Roman"/>
    </w:rPr>
  </w:style>
  <w:style w:type="paragraph" w:styleId="1209" w:customStyle="1">
    <w:name w:val="标题3"/>
    <w:basedOn w:val="861"/>
    <w:uiPriority w:val="0"/>
    <w:qFormat/>
    <w:pPr>
      <w:ind w:left="0" w:firstLine="562"/>
      <w:jc w:val="both"/>
      <w:spacing w:line="360" w:lineRule="auto"/>
      <w:shd w:val="clear" w:color="auto" w:fill="ffffff"/>
    </w:pPr>
    <w:rPr>
      <w:rFonts w:ascii="Times New Roman" w:hAnsi="Times New Roman" w:eastAsia="仿宋_GB2312" w:cs="Times New Roman"/>
      <w:bCs/>
      <w:sz w:val="30"/>
      <w:szCs w:val="32"/>
      <w:lang w:val="en-US" w:bidi="ar-SA"/>
    </w:rPr>
  </w:style>
  <w:style w:type="paragraph" w:styleId="1210" w:customStyle="1">
    <w:name w:val="Char Char Char Char Char Char"/>
    <w:basedOn w:val="858"/>
    <w:uiPriority w:val="0"/>
    <w:qFormat/>
    <w:pPr>
      <w:ind w:firstLine="562"/>
      <w:jc w:val="both"/>
      <w:spacing w:line="360" w:lineRule="auto"/>
    </w:pPr>
    <w:rPr>
      <w:rFonts w:ascii="Tahoma" w:hAnsi="Tahoma" w:cs="Tahoma"/>
      <w:sz w:val="24"/>
      <w:szCs w:val="24"/>
      <w:lang w:val="en-US" w:bidi="ar-SA"/>
    </w:rPr>
  </w:style>
  <w:style w:type="paragraph" w:styleId="1211" w:customStyle="1">
    <w:name w:val="表头_5"/>
    <w:basedOn w:val="858"/>
    <w:uiPriority w:val="0"/>
    <w:qFormat/>
    <w:pPr>
      <w:ind w:firstLine="562"/>
      <w:jc w:val="both"/>
      <w:spacing w:line="360" w:lineRule="auto"/>
    </w:pPr>
    <w:rPr>
      <w:rFonts w:ascii="Times New Roman" w:hAnsi="Times New Roman" w:cs="Times New Roman"/>
      <w:b/>
      <w:bCs/>
      <w:sz w:val="28"/>
      <w:szCs w:val="21"/>
      <w:lang w:val="en-US" w:bidi="ar-SA"/>
    </w:rPr>
  </w:style>
  <w:style w:type="paragraph" w:styleId="1212" w:customStyle="1">
    <w:name w:val="Bullets L1"/>
    <w:basedOn w:val="858"/>
    <w:uiPriority w:val="0"/>
    <w:qFormat/>
    <w:pPr>
      <w:numPr>
        <w:ilvl w:val="0"/>
        <w:numId w:val="3"/>
      </w:numPr>
      <w:ind w:firstLine="200"/>
      <w:spacing w:before="60" w:after="60" w:line="360" w:lineRule="auto"/>
      <w:widowControl/>
    </w:pPr>
    <w:rPr>
      <w:rFonts w:ascii="Arial" w:hAnsi="Arial" w:cs="Times New Roman"/>
      <w:sz w:val="20"/>
      <w:szCs w:val="24"/>
      <w:lang w:val="en-US" w:bidi="ar-SA"/>
    </w:rPr>
  </w:style>
  <w:style w:type="paragraph" w:styleId="1213" w:customStyle="1">
    <w:name w:val="Char1 Char Char Char"/>
    <w:basedOn w:val="858"/>
    <w:uiPriority w:val="0"/>
    <w:qFormat/>
    <w:pPr>
      <w:ind w:firstLine="562"/>
      <w:jc w:val="both"/>
      <w:spacing w:line="360" w:lineRule="auto"/>
    </w:pPr>
    <w:rPr>
      <w:rFonts w:ascii="Tahoma" w:hAnsi="Tahoma" w:cs="Tahoma"/>
      <w:sz w:val="24"/>
      <w:szCs w:val="24"/>
      <w:lang w:val="en-US" w:bidi="ar-SA"/>
    </w:rPr>
  </w:style>
  <w:style w:type="paragraph" w:styleId="1214" w:customStyle="1">
    <w:name w:val="默认段落字体 Para Char"/>
    <w:basedOn w:val="858"/>
    <w:uiPriority w:val="0"/>
    <w:qFormat/>
    <w:pPr>
      <w:ind w:firstLine="562"/>
      <w:jc w:val="both"/>
      <w:spacing w:line="360" w:lineRule="auto"/>
    </w:pPr>
    <w:rPr>
      <w:rFonts w:ascii="Times New Roman" w:hAnsi="Times New Roman" w:cs="Times New Roman"/>
      <w:sz w:val="24"/>
      <w:szCs w:val="24"/>
      <w:lang w:val="en-US" w:bidi="ar-SA"/>
    </w:rPr>
  </w:style>
  <w:style w:type="paragraph" w:styleId="1215" w:customStyle="1">
    <w:name w:val="样式 加点正文 + 段前: 0.5 行 段后: 0.5 行1"/>
    <w:basedOn w:val="858"/>
    <w:uiPriority w:val="0"/>
    <w:qFormat/>
    <w:pPr>
      <w:ind w:left="1268" w:hanging="420"/>
      <w:jc w:val="both"/>
      <w:spacing w:before="156" w:after="156" w:line="300" w:lineRule="auto"/>
      <w:tabs>
        <w:tab w:val="left" w:pos="420" w:leader="none"/>
        <w:tab w:val="left" w:pos="1268" w:leader="none"/>
      </w:tabs>
    </w:pPr>
    <w:rPr>
      <w:rFonts w:ascii="Times New Roman" w:hAnsi="Times New Roman" w:cs="Times New Roman"/>
      <w:sz w:val="24"/>
      <w:szCs w:val="24"/>
      <w:lang w:val="en-US" w:bidi="ar-SA"/>
    </w:rPr>
  </w:style>
  <w:style w:type="paragraph" w:styleId="1216" w:customStyle="1">
    <w:name w:val="列出段落2"/>
    <w:basedOn w:val="858"/>
    <w:uiPriority w:val="0"/>
    <w:qFormat/>
    <w:pPr>
      <w:ind w:left="720" w:firstLine="562"/>
      <w:spacing w:line="360" w:lineRule="auto"/>
      <w:widowControl/>
    </w:pPr>
    <w:rPr>
      <w:rFonts w:ascii="Arial" w:hAnsi="Arial" w:eastAsia="黑体" w:cs="Arial"/>
      <w:sz w:val="24"/>
      <w:szCs w:val="24"/>
      <w:lang w:val="en-US" w:eastAsia="en-US" w:bidi="ar-SA"/>
    </w:rPr>
  </w:style>
  <w:style w:type="character" w:styleId="1217" w:customStyle="1">
    <w:name w:val="Char Char22"/>
    <w:uiPriority w:val="0"/>
    <w:qFormat/>
    <w:rPr>
      <w:rFonts w:ascii="Times New Roman" w:hAnsi="Times New Roman" w:eastAsia="宋体" w:cs="Times New Roman"/>
      <w:b/>
      <w:bCs/>
      <w:sz w:val="24"/>
      <w:szCs w:val="24"/>
    </w:rPr>
  </w:style>
  <w:style w:type="paragraph" w:styleId="1218" w:customStyle="1">
    <w:name w:val="Char Char Char"/>
    <w:basedOn w:val="878"/>
    <w:uiPriority w:val="0"/>
    <w:qFormat/>
    <w:pPr>
      <w:spacing w:line="436" w:lineRule="exact"/>
    </w:pPr>
    <w:rPr>
      <w:rFonts w:ascii="Times New Roman" w:hAnsi="Times New Roman" w:cs="Times New Roman"/>
    </w:rPr>
  </w:style>
  <w:style w:type="paragraph" w:styleId="1219" w:customStyle="1">
    <w:name w:val="样式 正文缩进2字符 + 左侧:  2 字符 首行缩进:  2 字符"/>
    <w:basedOn w:val="858"/>
    <w:uiPriority w:val="0"/>
    <w:qFormat/>
    <w:pPr>
      <w:ind w:firstLine="480"/>
      <w:jc w:val="both"/>
      <w:spacing w:line="360" w:lineRule="auto"/>
    </w:pPr>
    <w:rPr>
      <w:rFonts w:ascii="Times New Roman" w:hAnsi="Times New Roman"/>
      <w:bCs/>
      <w:sz w:val="24"/>
      <w:szCs w:val="20"/>
      <w:lang w:val="en-US" w:bidi="ar-SA"/>
    </w:rPr>
  </w:style>
  <w:style w:type="paragraph" w:styleId="1220" w:customStyle="1">
    <w:name w:val="zw"/>
    <w:basedOn w:val="858"/>
    <w:uiPriority w:val="0"/>
    <w:qFormat/>
    <w:pPr>
      <w:ind w:firstLine="480"/>
      <w:spacing w:line="360" w:lineRule="auto"/>
      <w:widowControl/>
    </w:pPr>
    <w:rPr>
      <w:rFonts w:cs="Times New Roman"/>
      <w:bCs/>
      <w:sz w:val="24"/>
      <w:szCs w:val="24"/>
      <w:lang w:val="en-US" w:bidi="ar-SA"/>
    </w:rPr>
  </w:style>
  <w:style w:type="paragraph" w:styleId="1221" w:customStyle="1">
    <w:name w:val="标题5，章节第五层"/>
    <w:basedOn w:val="858"/>
    <w:next w:val="858"/>
    <w:uiPriority w:val="0"/>
    <w:qFormat/>
    <w:pPr>
      <w:ind w:left="2100" w:hanging="420"/>
      <w:jc w:val="both"/>
      <w:spacing w:before="78" w:line="360" w:lineRule="auto"/>
      <w:tabs>
        <w:tab w:val="left" w:pos="1050" w:leader="none"/>
        <w:tab w:val="left" w:pos="2100" w:leader="none"/>
      </w:tabs>
      <w:outlineLvl w:val="4"/>
    </w:pPr>
    <w:rPr>
      <w:rFonts w:ascii="Arial" w:hAnsi="Arial" w:eastAsia="华文细黑" w:cs="Times New Roman"/>
      <w:sz w:val="30"/>
      <w:szCs w:val="24"/>
      <w:lang w:val="en-US" w:bidi="ar-SA"/>
    </w:rPr>
  </w:style>
  <w:style w:type="paragraph" w:styleId="1222" w:customStyle="1">
    <w:name w:val="xl62"/>
    <w:basedOn w:val="858"/>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23" w:customStyle="1">
    <w:name w:val="符号与编号 Char Char"/>
    <w:basedOn w:val="858"/>
    <w:uiPriority w:val="0"/>
    <w:qFormat/>
    <w:pPr>
      <w:ind w:left="839" w:hanging="419"/>
      <w:jc w:val="both"/>
      <w:spacing w:after="156" w:line="400" w:lineRule="atLeast"/>
      <w:tabs>
        <w:tab w:val="left" w:pos="840" w:leader="none"/>
      </w:tabs>
    </w:pPr>
    <w:rPr>
      <w:rFonts w:ascii="Times New Roman" w:hAnsi="Times New Roman" w:cs="Times New Roman"/>
      <w:sz w:val="24"/>
      <w:szCs w:val="24"/>
      <w:lang w:val="en-US" w:bidi="ar-SA"/>
    </w:rPr>
  </w:style>
  <w:style w:type="paragraph" w:styleId="1224" w:customStyle="1">
    <w:name w:val="样式1"/>
    <w:basedOn w:val="858"/>
    <w:uiPriority w:val="0"/>
    <w:qFormat/>
    <w:pPr>
      <w:ind w:firstLine="480"/>
      <w:jc w:val="both"/>
      <w:spacing w:line="300" w:lineRule="auto"/>
    </w:pPr>
    <w:rPr>
      <w:rFonts w:ascii="Times New Roman" w:hAnsi="Times New Roman" w:cs="Times New Roman"/>
      <w:sz w:val="24"/>
      <w:szCs w:val="24"/>
      <w:lang w:val="en-US" w:bidi="ar-SA"/>
    </w:rPr>
  </w:style>
  <w:style w:type="paragraph" w:styleId="1225" w:customStyle="1">
    <w:name w:val="项目符号，二级"/>
    <w:basedOn w:val="1203"/>
    <w:next w:val="1203"/>
    <w:uiPriority w:val="0"/>
    <w:qFormat/>
    <w:pPr>
      <w:ind w:left="1337" w:right="-27" w:firstLine="480"/>
      <w:tabs>
        <w:tab w:val="left" w:pos="567" w:leader="none"/>
        <w:tab w:val="left" w:pos="1211" w:leader="none"/>
        <w:tab w:val="left" w:pos="1337" w:leader="none"/>
      </w:tabs>
    </w:pPr>
    <w:rPr>
      <w:rFonts w:ascii="Times New Roman" w:hAnsi="Times New Roman"/>
      <w:bCs w:val="0"/>
      <w:color w:val="000000"/>
      <w:szCs w:val="24"/>
    </w:rPr>
  </w:style>
  <w:style w:type="character" w:styleId="1226" w:customStyle="1">
    <w:name w:val="param-value"/>
    <w:uiPriority w:val="0"/>
    <w:qFormat/>
    <w:rPr>
      <w:rFonts w:ascii="Times New Roman" w:hAnsi="Times New Roman" w:eastAsia="宋体" w:cs="Times New Roman"/>
    </w:rPr>
  </w:style>
  <w:style w:type="paragraph" w:styleId="1227" w:customStyle="1">
    <w:name w:val="Body Text 21"/>
    <w:basedOn w:val="858"/>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228" w:customStyle="1">
    <w:name w:val="表格抬头"/>
    <w:basedOn w:val="858"/>
    <w:link w:val="1381"/>
    <w:uiPriority w:val="0"/>
    <w:qFormat/>
    <w:pPr>
      <w:ind w:firstLine="562"/>
      <w:jc w:val="center"/>
      <w:spacing w:line="360" w:lineRule="auto"/>
    </w:pPr>
    <w:rPr>
      <w:rFonts w:ascii="黑体" w:eastAsia="黑体"/>
      <w:b/>
      <w:sz w:val="24"/>
      <w:szCs w:val="24"/>
      <w:lang w:val="en-US" w:bidi="ar-SA"/>
    </w:rPr>
  </w:style>
  <w:style w:type="character" w:styleId="1229" w:customStyle="1">
    <w:name w:val="_Style 109"/>
    <w:uiPriority w:val="0"/>
    <w:qFormat/>
    <w:rPr>
      <w:rFonts w:ascii="Times New Roman" w:hAnsi="Times New Roman" w:eastAsia="宋体" w:cs="Times New Roman"/>
      <w:smallCaps/>
    </w:rPr>
  </w:style>
  <w:style w:type="paragraph" w:styleId="1230" w:customStyle="1">
    <w:name w:val="Char Char"/>
    <w:basedOn w:val="858"/>
    <w:uiPriority w:val="0"/>
    <w:qFormat/>
    <w:pPr>
      <w:ind w:firstLine="562"/>
      <w:jc w:val="both"/>
      <w:spacing w:line="360" w:lineRule="auto"/>
    </w:pPr>
    <w:rPr>
      <w:rFonts w:ascii="Tahoma" w:hAnsi="Tahoma" w:cs="Times New Roman"/>
      <w:sz w:val="24"/>
      <w:szCs w:val="24"/>
      <w:lang w:val="en-US" w:bidi="ar-SA"/>
    </w:rPr>
  </w:style>
  <w:style w:type="paragraph" w:styleId="1231" w:customStyle="1">
    <w:name w:val="表格1"/>
    <w:basedOn w:val="858"/>
    <w:uiPriority w:val="0"/>
    <w:qFormat/>
    <w:pPr>
      <w:ind w:firstLine="562"/>
      <w:jc w:val="both"/>
      <w:spacing w:line="360" w:lineRule="auto"/>
    </w:pPr>
    <w:rPr>
      <w:rFonts w:hAnsi="Times New Roman" w:cs="Times New Roman"/>
      <w:sz w:val="24"/>
      <w:szCs w:val="21"/>
      <w:lang w:val="en-US" w:bidi="ar-SA"/>
    </w:rPr>
  </w:style>
  <w:style w:type="character" w:styleId="1232" w:customStyle="1">
    <w:name w:val="样式 宋体 小四"/>
    <w:uiPriority w:val="0"/>
    <w:qFormat/>
    <w:rPr>
      <w:rFonts w:ascii="宋体" w:hAnsi="宋体" w:eastAsia="宋体" w:cs="Times New Roman"/>
      <w:sz w:val="24"/>
    </w:rPr>
  </w:style>
  <w:style w:type="character" w:styleId="1233" w:customStyle="1">
    <w:name w:val="纯文本 Char Char Char1"/>
    <w:uiPriority w:val="0"/>
    <w:qFormat/>
    <w:rPr>
      <w:rFonts w:ascii="宋体" w:hAnsi="Courier New" w:eastAsia="宋体" w:cs="Times New Roman"/>
      <w:sz w:val="21"/>
      <w:szCs w:val="21"/>
      <w:lang w:val="en-US" w:eastAsia="zh-CN" w:bidi="ar-SA"/>
    </w:rPr>
  </w:style>
  <w:style w:type="paragraph" w:styleId="1234" w:customStyle="1">
    <w:name w:val="Char Char1"/>
    <w:basedOn w:val="858"/>
    <w:uiPriority w:val="0"/>
    <w:qFormat/>
    <w:pPr>
      <w:ind w:firstLine="562"/>
      <w:jc w:val="both"/>
      <w:spacing w:line="360" w:lineRule="auto"/>
    </w:pPr>
    <w:rPr>
      <w:rFonts w:ascii="Tahoma" w:hAnsi="Tahoma" w:cs="Tahoma"/>
      <w:sz w:val="24"/>
      <w:szCs w:val="24"/>
      <w:lang w:val="en-US" w:bidi="ar-SA"/>
    </w:rPr>
  </w:style>
  <w:style w:type="paragraph" w:styleId="1235" w:customStyle="1">
    <w:name w:val="Item Step in Table"/>
    <w:uiPriority w:val="0"/>
    <w:qFormat/>
    <w:pPr>
      <w:numPr>
        <w:ilvl w:val="0"/>
        <w:numId w:val="4"/>
      </w:numPr>
      <w:jc w:val="both"/>
      <w:spacing w:before="40" w:after="40"/>
    </w:pPr>
    <w:rPr>
      <w:rFonts w:ascii="Arial" w:hAnsi="Arial" w:eastAsia="宋体" w:cs="Arial"/>
      <w:sz w:val="18"/>
      <w:szCs w:val="18"/>
      <w:lang w:val="en-US" w:eastAsia="zh-CN" w:bidi="ar-SA"/>
    </w:rPr>
  </w:style>
  <w:style w:type="paragraph" w:styleId="1236" w:customStyle="1">
    <w:name w:val="马刚标题3"/>
    <w:basedOn w:val="858"/>
    <w:next w:val="858"/>
    <w:uiPriority w:val="0"/>
    <w:qFormat/>
    <w:pPr>
      <w:ind w:left="567" w:hanging="567"/>
      <w:keepLines/>
      <w:keepNext/>
      <w:spacing w:before="120" w:after="60" w:line="413" w:lineRule="auto"/>
      <w:tabs>
        <w:tab w:val="left" w:pos="567" w:leader="none"/>
        <w:tab w:val="left" w:pos="735" w:leader="none"/>
      </w:tabs>
      <w:outlineLvl w:val="2"/>
    </w:pPr>
    <w:rPr>
      <w:rFonts w:ascii="黑体" w:hAnsi="Arial" w:eastAsia="黑体" w:cs="Times New Roman"/>
      <w:b/>
      <w:bCs/>
      <w:sz w:val="24"/>
      <w:szCs w:val="24"/>
      <w:lang w:val="en-US" w:bidi="ar-SA"/>
    </w:rPr>
  </w:style>
  <w:style w:type="paragraph" w:styleId="1237" w:customStyle="1">
    <w:name w:val="xl44"/>
    <w:basedOn w:val="858"/>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b/>
      <w:bCs/>
      <w:sz w:val="20"/>
      <w:szCs w:val="24"/>
      <w:lang w:val="en-US" w:bidi="ar-SA"/>
    </w:rPr>
  </w:style>
  <w:style w:type="paragraph" w:styleId="1238" w:customStyle="1">
    <w:name w:val="正文缩进2字符"/>
    <w:basedOn w:val="858"/>
    <w:uiPriority w:val="0"/>
    <w:qFormat/>
    <w:pPr>
      <w:ind w:firstLine="200"/>
      <w:jc w:val="both"/>
      <w:spacing w:line="300" w:lineRule="auto"/>
    </w:pPr>
    <w:rPr>
      <w:rFonts w:ascii="仿宋_GB2312" w:hAnsi="Times New Roman" w:eastAsia="仿宋_GB2312" w:cs="Times New Roman"/>
      <w:sz w:val="32"/>
      <w:szCs w:val="32"/>
      <w:lang w:val="en-US" w:bidi="ar-SA"/>
    </w:rPr>
  </w:style>
  <w:style w:type="paragraph" w:styleId="1239" w:customStyle="1">
    <w:name w:val="Char1"/>
    <w:basedOn w:val="858"/>
    <w:uiPriority w:val="0"/>
    <w:qFormat/>
    <w:pPr>
      <w:ind w:firstLine="562"/>
      <w:jc w:val="both"/>
      <w:spacing w:line="360" w:lineRule="auto"/>
    </w:pPr>
    <w:rPr>
      <w:rFonts w:ascii="仿宋_GB2312" w:eastAsia="仿宋_GB2312"/>
      <w:b/>
      <w:sz w:val="32"/>
      <w:szCs w:val="32"/>
      <w:lang w:val="en-US" w:bidi="ar-SA"/>
    </w:rPr>
  </w:style>
  <w:style w:type="paragraph" w:styleId="1240" w:customStyle="1">
    <w:name w:val="Pa5"/>
    <w:basedOn w:val="858"/>
    <w:next w:val="858"/>
    <w:uiPriority w:val="0"/>
    <w:qFormat/>
    <w:pPr>
      <w:ind w:firstLine="562"/>
      <w:spacing w:line="241" w:lineRule="atLeast"/>
    </w:pPr>
    <w:rPr>
      <w:rFonts w:ascii="汉仪大黑简" w:hAnsi="Times New Roman" w:eastAsia="汉仪大黑简" w:cs="Times New Roman"/>
      <w:sz w:val="24"/>
      <w:szCs w:val="24"/>
      <w:lang w:val="en-US" w:bidi="ar-SA"/>
    </w:rPr>
  </w:style>
  <w:style w:type="character" w:styleId="1241" w:customStyle="1">
    <w:name w:val="Char Char20"/>
    <w:uiPriority w:val="0"/>
    <w:qFormat/>
    <w:rPr>
      <w:rFonts w:ascii="Arial" w:hAnsi="Arial" w:eastAsia="黑体" w:cs="Times New Roman"/>
      <w:sz w:val="21"/>
      <w:szCs w:val="21"/>
    </w:rPr>
  </w:style>
  <w:style w:type="paragraph" w:styleId="1242" w:customStyle="1">
    <w:name w:val="条1"/>
    <w:basedOn w:val="858"/>
    <w:uiPriority w:val="0"/>
    <w:qFormat/>
    <w:pPr>
      <w:ind w:left="780" w:hanging="360"/>
      <w:jc w:val="both"/>
      <w:spacing w:before="156" w:line="360" w:lineRule="auto"/>
      <w:tabs>
        <w:tab w:val="left" w:pos="780" w:leader="none"/>
      </w:tabs>
    </w:pPr>
    <w:rPr>
      <w:rFonts w:ascii="Times New Roman" w:hAnsi="Times New Roman" w:eastAsia="黑体" w:cs="Times New Roman"/>
      <w:sz w:val="24"/>
      <w:szCs w:val="24"/>
      <w:lang w:val="en-US" w:bidi="ar-SA"/>
    </w:rPr>
  </w:style>
  <w:style w:type="character" w:styleId="1243" w:customStyle="1">
    <w:name w:val="_Style 106"/>
    <w:uiPriority w:val="0"/>
    <w:qFormat/>
    <w:rPr>
      <w:rFonts w:ascii="Times New Roman" w:hAnsi="Times New Roman" w:eastAsia="宋体" w:cs="Times New Roman"/>
      <w:i/>
      <w:iCs/>
      <w:smallCaps/>
      <w:spacing w:val="5"/>
    </w:rPr>
  </w:style>
  <w:style w:type="paragraph" w:styleId="1244" w:customStyle="1">
    <w:name w:val="Char"/>
    <w:basedOn w:val="858"/>
    <w:uiPriority w:val="0"/>
    <w:qFormat/>
    <w:pPr>
      <w:ind w:firstLine="562"/>
      <w:jc w:val="both"/>
      <w:spacing w:after="156" w:line="360" w:lineRule="auto"/>
    </w:pPr>
    <w:rPr>
      <w:rFonts w:ascii="Tahoma" w:hAnsi="Tahoma" w:cs="Times New Roman"/>
      <w:sz w:val="24"/>
      <w:szCs w:val="24"/>
      <w:lang w:val="en-US" w:bidi="ar-SA"/>
    </w:rPr>
  </w:style>
  <w:style w:type="character" w:styleId="1245" w:customStyle="1">
    <w:name w:val="textcontents"/>
    <w:uiPriority w:val="0"/>
    <w:qFormat/>
    <w:rPr>
      <w:rFonts w:ascii="Times New Roman" w:hAnsi="Times New Roman" w:eastAsia="宋体" w:cs="Times New Roman"/>
    </w:rPr>
  </w:style>
  <w:style w:type="paragraph" w:styleId="1246" w:customStyle="1">
    <w:name w:val="xl36"/>
    <w:basedOn w:val="858"/>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247" w:customStyle="1">
    <w:name w:val="华宇段落1 Char Char"/>
    <w:uiPriority w:val="0"/>
    <w:qFormat/>
    <w:rPr>
      <w:rFonts w:ascii="Times New Roman" w:hAnsi="Times New Roman" w:eastAsia="宋体" w:cs="Times New Roman"/>
      <w:bCs/>
      <w:sz w:val="24"/>
      <w:szCs w:val="24"/>
      <w:lang w:val="en-US" w:eastAsia="zh-CN" w:bidi="ar-SA"/>
    </w:rPr>
  </w:style>
  <w:style w:type="character" w:styleId="1248" w:customStyle="1">
    <w:name w:val="_Style 197"/>
    <w:uiPriority w:val="0"/>
    <w:qFormat/>
    <w:rPr>
      <w:rFonts w:ascii="Times New Roman" w:hAnsi="Times New Roman" w:eastAsia="宋体" w:cs="Times New Roman"/>
      <w:smallCaps/>
      <w:spacing w:val="5"/>
      <w:u w:val="single"/>
    </w:rPr>
  </w:style>
  <w:style w:type="character" w:styleId="1249" w:customStyle="1">
    <w:name w:val="Char Char25"/>
    <w:uiPriority w:val="0"/>
    <w:qFormat/>
    <w:rPr>
      <w:rFonts w:ascii="Arial" w:hAnsi="Arial" w:eastAsia="黑体" w:cs="Times New Roman"/>
      <w:b/>
      <w:sz w:val="28"/>
    </w:rPr>
  </w:style>
  <w:style w:type="paragraph" w:styleId="1250" w:customStyle="1">
    <w:name w:val="正文文本缩进1"/>
    <w:basedOn w:val="858"/>
    <w:uiPriority w:val="0"/>
    <w:qFormat/>
    <w:pPr>
      <w:ind w:left="420" w:firstLine="562"/>
      <w:jc w:val="both"/>
      <w:spacing w:after="120" w:line="360" w:lineRule="auto"/>
    </w:pPr>
    <w:rPr>
      <w:rFonts w:ascii="Times New Roman" w:hAnsi="Times New Roman" w:cs="Times New Roman"/>
      <w:sz w:val="24"/>
      <w:szCs w:val="24"/>
      <w:lang w:val="en-US" w:bidi="ar-SA"/>
    </w:rPr>
  </w:style>
  <w:style w:type="character" w:styleId="1251" w:customStyle="1">
    <w:name w:val="normalfont1"/>
    <w:uiPriority w:val="0"/>
    <w:qFormat/>
    <w:rPr>
      <w:rFonts w:hint="default" w:ascii="ˎ̥" w:hAnsi="ˎ̥" w:eastAsia="宋体" w:cs="Times New Roman"/>
      <w:sz w:val="18"/>
      <w:szCs w:val="18"/>
      <w:u w:val="none"/>
    </w:rPr>
  </w:style>
  <w:style w:type="character" w:styleId="1252" w:customStyle="1">
    <w:name w:val="3zw"/>
    <w:uiPriority w:val="0"/>
    <w:qFormat/>
    <w:rPr>
      <w:rFonts w:ascii="Times New Roman" w:hAnsi="Times New Roman" w:eastAsia="宋体" w:cs="Times New Roman"/>
    </w:rPr>
  </w:style>
  <w:style w:type="character" w:styleId="1253" w:customStyle="1">
    <w:name w:val="Title1 Char"/>
    <w:uiPriority w:val="0"/>
    <w:qFormat/>
    <w:rPr>
      <w:rFonts w:ascii="Times New Roman" w:hAnsi="Times New Roman" w:eastAsia="宋体" w:cs="Times New Roman"/>
      <w:b/>
      <w:bCs/>
      <w:sz w:val="44"/>
      <w:szCs w:val="44"/>
      <w:lang w:val="en-US" w:eastAsia="zh-CN" w:bidi="ar-SA"/>
    </w:rPr>
  </w:style>
  <w:style w:type="paragraph" w:styleId="1254" w:customStyle="1">
    <w:name w:val="Table Text Char"/>
    <w:uiPriority w:val="0"/>
    <w:qFormat/>
    <w:pPr>
      <w:spacing w:before="80" w:after="80"/>
    </w:pPr>
    <w:rPr>
      <w:rFonts w:ascii="Arial" w:hAnsi="Arial" w:eastAsia="宋体" w:cs="Arial"/>
      <w:sz w:val="18"/>
      <w:szCs w:val="28"/>
      <w:lang w:val="en-US" w:eastAsia="zh-CN" w:bidi="ar-SA"/>
    </w:rPr>
  </w:style>
  <w:style w:type="paragraph" w:styleId="1255" w:customStyle="1">
    <w:name w:val="我的正文"/>
    <w:basedOn w:val="858"/>
    <w:uiPriority w:val="0"/>
    <w:qFormat/>
    <w:pPr>
      <w:ind w:firstLine="420"/>
      <w:spacing w:line="360" w:lineRule="auto"/>
      <w:widowControl/>
    </w:pPr>
    <w:rPr>
      <w:sz w:val="24"/>
      <w:szCs w:val="21"/>
      <w:lang w:val="en-US" w:bidi="ar-SA"/>
    </w:rPr>
  </w:style>
  <w:style w:type="paragraph" w:styleId="1256" w:customStyle="1">
    <w:name w:val="xl50"/>
    <w:basedOn w:val="858"/>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57" w:customStyle="1">
    <w:name w:val="已访问的超链接1"/>
    <w:uiPriority w:val="0"/>
    <w:qFormat/>
    <w:rPr>
      <w:rFonts w:ascii="Times New Roman" w:hAnsi="Times New Roman" w:eastAsia="宋体" w:cs="Times New Roman"/>
      <w:color w:val="auto"/>
      <w:u w:val="none"/>
    </w:rPr>
  </w:style>
  <w:style w:type="paragraph" w:styleId="1258" w:customStyle="1">
    <w:name w:val="xl27"/>
    <w:basedOn w:val="858"/>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259" w:customStyle="1">
    <w:name w:val="xl51"/>
    <w:basedOn w:val="858"/>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260" w:customStyle="1">
    <w:name w:val="00-合正"/>
    <w:basedOn w:val="858"/>
    <w:uiPriority w:val="0"/>
    <w:qFormat/>
    <w:pPr>
      <w:ind w:firstLine="200"/>
      <w:spacing w:line="560" w:lineRule="exact"/>
    </w:pPr>
    <w:rPr>
      <w:rFonts w:ascii="楷体" w:hAnsi="楷体" w:eastAsia="楷体" w:cs="Times New Roman"/>
      <w:color w:val="000000"/>
      <w:sz w:val="28"/>
      <w:szCs w:val="24"/>
      <w:lang w:val="en-US" w:bidi="ar-SA"/>
    </w:rPr>
  </w:style>
  <w:style w:type="paragraph" w:styleId="1261" w:customStyle="1">
    <w:name w:val="font5"/>
    <w:basedOn w:val="858"/>
    <w:uiPriority w:val="0"/>
    <w:qFormat/>
    <w:pPr>
      <w:ind w:firstLine="562"/>
      <w:spacing w:before="100" w:beforeAutospacing="1" w:after="100" w:afterAutospacing="1" w:line="360" w:lineRule="auto"/>
      <w:widowControl/>
    </w:pPr>
    <w:rPr>
      <w:sz w:val="18"/>
      <w:szCs w:val="18"/>
      <w:lang w:val="en-US" w:bidi="ar-SA"/>
    </w:rPr>
  </w:style>
  <w:style w:type="paragraph" w:styleId="1262" w:customStyle="1">
    <w:name w:val="华宇段落1 Char"/>
    <w:basedOn w:val="858"/>
    <w:uiPriority w:val="0"/>
    <w:qFormat/>
    <w:pPr>
      <w:ind w:firstLine="200"/>
      <w:jc w:val="both"/>
      <w:spacing w:line="360" w:lineRule="auto"/>
    </w:pPr>
    <w:rPr>
      <w:rFonts w:ascii="Times New Roman" w:hAnsi="Times New Roman" w:cs="Times New Roman"/>
      <w:bCs/>
      <w:sz w:val="24"/>
      <w:szCs w:val="24"/>
      <w:lang w:val="en-US" w:bidi="ar-SA"/>
    </w:rPr>
  </w:style>
  <w:style w:type="paragraph" w:styleId="1263" w:customStyle="1">
    <w:name w:val="xl25"/>
    <w:basedOn w:val="858"/>
    <w:uiPriority w:val="0"/>
    <w:qFormat/>
    <w:pPr>
      <w:ind w:firstLine="562"/>
      <w:jc w:val="center"/>
      <w:spacing w:before="100" w:beforeAutospacing="1" w:after="100" w:afterAutospacing="1" w:line="360" w:lineRule="auto"/>
      <w:widowControl/>
      <w:pBdr>
        <w:right w:val="single" w:color="auto" w:sz="4" w:space="0"/>
      </w:pBdr>
    </w:pPr>
    <w:rPr>
      <w:rFonts w:ascii="Times New Roman" w:hAnsi="Times New Roman" w:cs="Times New Roman"/>
      <w:sz w:val="24"/>
      <w:szCs w:val="21"/>
      <w:lang w:val="en-US" w:bidi="ar-SA"/>
    </w:rPr>
  </w:style>
  <w:style w:type="character" w:styleId="1264" w:customStyle="1">
    <w:name w:val="普通文字1 Char"/>
    <w:uiPriority w:val="0"/>
    <w:qFormat/>
    <w:rPr>
      <w:rFonts w:ascii="宋体" w:hAnsi="Times New Roman" w:eastAsia="宋体" w:cs="Times New Roman"/>
      <w:sz w:val="21"/>
      <w:szCs w:val="21"/>
      <w:lang w:val="en-US" w:eastAsia="zh-CN" w:bidi="ar-SA"/>
    </w:rPr>
  </w:style>
  <w:style w:type="paragraph" w:styleId="1265" w:customStyle="1">
    <w:name w:val="content_lineheight"/>
    <w:basedOn w:val="858"/>
    <w:uiPriority w:val="0"/>
    <w:qFormat/>
    <w:pPr>
      <w:ind w:firstLine="562"/>
      <w:spacing w:before="100" w:beforeAutospacing="1" w:after="100" w:afterAutospacing="1" w:line="360" w:lineRule="auto"/>
      <w:widowControl/>
    </w:pPr>
    <w:rPr>
      <w:rFonts w:cs="Times New Roman"/>
      <w:sz w:val="24"/>
      <w:szCs w:val="24"/>
      <w:lang w:val="en-US" w:bidi="ar-SA"/>
    </w:rPr>
  </w:style>
  <w:style w:type="character" w:styleId="1266" w:customStyle="1">
    <w:name w:val="批注文字 Char"/>
    <w:uiPriority w:val="0"/>
    <w:qFormat/>
    <w:rPr>
      <w:rFonts w:ascii="Times New Roman" w:hAnsi="Times New Roman" w:eastAsia="宋体" w:cs="Times New Roman"/>
      <w:sz w:val="21"/>
      <w:lang w:val="en-US" w:eastAsia="zh-CN" w:bidi="ar-SA"/>
    </w:rPr>
  </w:style>
  <w:style w:type="paragraph" w:styleId="1267" w:customStyle="1">
    <w:name w:val="xl31"/>
    <w:basedOn w:val="858"/>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楷体_GB2312" w:eastAsia="楷体_GB2312"/>
      <w:b/>
      <w:bCs/>
      <w:sz w:val="24"/>
      <w:szCs w:val="24"/>
      <w:lang w:val="en-US" w:bidi="ar-SA"/>
    </w:rPr>
  </w:style>
  <w:style w:type="character" w:styleId="1268" w:customStyle="1">
    <w:name w:val="font81"/>
    <w:uiPriority w:val="0"/>
    <w:qFormat/>
    <w:rPr>
      <w:rFonts w:hint="eastAsia" w:ascii="宋体" w:hAnsi="宋体" w:eastAsia="宋体" w:cs="宋体"/>
      <w:color w:val="000000"/>
      <w:sz w:val="16"/>
      <w:szCs w:val="16"/>
      <w:u w:val="none"/>
    </w:rPr>
  </w:style>
  <w:style w:type="character" w:styleId="1269" w:customStyle="1">
    <w:name w:val="111111 Char"/>
    <w:link w:val="1270"/>
    <w:uiPriority w:val="0"/>
    <w:qFormat/>
    <w:rPr>
      <w:rFonts w:ascii="宋体" w:hAnsi="宋体" w:eastAsia="黑体" w:cs="宋体"/>
      <w:b/>
      <w:bCs/>
      <w:sz w:val="21"/>
      <w:szCs w:val="21"/>
    </w:rPr>
  </w:style>
  <w:style w:type="paragraph" w:styleId="1270" w:customStyle="1">
    <w:name w:val="111111"/>
    <w:basedOn w:val="858"/>
    <w:link w:val="1269"/>
    <w:uiPriority w:val="0"/>
    <w:qFormat/>
    <w:pPr>
      <w:ind w:firstLine="562"/>
      <w:jc w:val="center"/>
      <w:spacing w:before="120" w:after="120" w:line="360" w:lineRule="auto"/>
    </w:pPr>
    <w:rPr>
      <w:rFonts w:eastAsia="黑体"/>
      <w:b/>
      <w:bCs/>
      <w:sz w:val="21"/>
      <w:szCs w:val="21"/>
      <w:lang w:val="en-US" w:bidi="ar-SA"/>
    </w:rPr>
  </w:style>
  <w:style w:type="paragraph" w:styleId="1271" w:customStyle="1">
    <w:name w:val="xl58"/>
    <w:basedOn w:val="858"/>
    <w:uiPriority w:val="0"/>
    <w:qFormat/>
    <w:pPr>
      <w:ind w:firstLine="562"/>
      <w:jc w:val="center"/>
      <w:spacing w:before="100" w:beforeAutospacing="1" w:after="100" w:afterAutospacing="1" w:line="360" w:lineRule="auto"/>
      <w:widowControl/>
      <w:pBdr>
        <w:left w:val="single" w:color="auto" w:sz="4" w:space="0"/>
        <w:right w:val="single" w:color="auto" w:sz="4" w:space="0"/>
      </w:pBdr>
    </w:pPr>
    <w:rPr>
      <w:rFonts w:ascii="Times New Roman" w:hAnsi="Times New Roman" w:cs="Times New Roman"/>
      <w:b/>
      <w:bCs/>
      <w:i/>
      <w:iCs/>
      <w:sz w:val="20"/>
      <w:szCs w:val="24"/>
      <w:lang w:val="en-US" w:bidi="ar-SA"/>
    </w:rPr>
  </w:style>
  <w:style w:type="character" w:styleId="1272" w:customStyle="1">
    <w:name w:val="concon"/>
    <w:uiPriority w:val="0"/>
    <w:qFormat/>
    <w:rPr>
      <w:rFonts w:ascii="Times New Roman" w:hAnsi="Times New Roman" w:eastAsia="宋体" w:cs="Times New Roman"/>
    </w:rPr>
  </w:style>
  <w:style w:type="character" w:styleId="1273" w:customStyle="1">
    <w:name w:val="content"/>
    <w:uiPriority w:val="0"/>
    <w:qFormat/>
    <w:rPr>
      <w:rFonts w:ascii="Times New Roman" w:hAnsi="Times New Roman" w:eastAsia="宋体" w:cs="Times New Roman"/>
    </w:rPr>
  </w:style>
  <w:style w:type="paragraph" w:styleId="1274" w:customStyle="1">
    <w:name w:val="标题6"/>
    <w:basedOn w:val="863"/>
    <w:uiPriority w:val="0"/>
    <w:qFormat/>
    <w:pPr>
      <w:numPr>
        <w:ilvl w:val="0"/>
        <w:numId w:val="5"/>
      </w:numPr>
      <w:ind w:firstLine="200"/>
      <w:jc w:val="both"/>
      <w:spacing w:before="145" w:after="145" w:line="360" w:lineRule="auto"/>
    </w:pPr>
    <w:rPr>
      <w:rFonts w:ascii="Times New Roman" w:hAnsi="Times New Roman" w:eastAsia="宋体" w:cs="Times New Roman"/>
      <w:b w:val="0"/>
      <w:szCs w:val="28"/>
      <w:lang w:val="en-US" w:bidi="ar-SA"/>
    </w:rPr>
  </w:style>
  <w:style w:type="paragraph" w:styleId="1275" w:customStyle="1">
    <w:name w:val="彩色列表 - 强调文字颜色 11"/>
    <w:basedOn w:val="858"/>
    <w:uiPriority w:val="0"/>
    <w:qFormat/>
    <w:pPr>
      <w:contextualSpacing/>
      <w:ind w:left="720" w:firstLine="562"/>
      <w:spacing w:before="100" w:after="100" w:line="276" w:lineRule="auto"/>
      <w:widowControl/>
    </w:pPr>
    <w:rPr>
      <w:rFonts w:ascii="Arial" w:hAnsi="Arial" w:cs="Arial"/>
      <w:color w:val="0f0f0f"/>
      <w:sz w:val="20"/>
      <w:szCs w:val="24"/>
      <w:lang w:val="en-US" w:eastAsia="en-US" w:bidi="ar-SA"/>
    </w:rPr>
  </w:style>
  <w:style w:type="paragraph" w:styleId="1276" w:customStyle="1">
    <w:name w:val="Normal2"/>
    <w:basedOn w:val="858"/>
    <w:uiPriority w:val="0"/>
    <w:qFormat/>
    <w:pPr>
      <w:ind w:firstLine="562"/>
      <w:jc w:val="both"/>
      <w:spacing w:line="360" w:lineRule="auto"/>
    </w:pPr>
    <w:rPr>
      <w:rFonts w:ascii="Calibri" w:hAnsi="Calibri" w:eastAsia="Calibri"/>
      <w:sz w:val="24"/>
      <w:szCs w:val="24"/>
      <w:lang w:bidi="ar-SA"/>
    </w:rPr>
  </w:style>
  <w:style w:type="paragraph" w:styleId="1277" w:customStyle="1">
    <w:name w:val="Char Char Char Char Char Char Char Char Char Char Char Char Char Char Char Char Char Char Char Char Char"/>
    <w:basedOn w:val="858"/>
    <w:uiPriority w:val="0"/>
    <w:qFormat/>
    <w:pPr>
      <w:ind w:firstLine="562"/>
      <w:jc w:val="both"/>
      <w:spacing w:line="360" w:lineRule="auto"/>
    </w:pPr>
    <w:rPr>
      <w:rFonts w:ascii="Tahoma" w:hAnsi="Tahoma" w:cs="Tahoma"/>
      <w:sz w:val="24"/>
      <w:szCs w:val="24"/>
      <w:lang w:val="en-US" w:bidi="ar-SA"/>
    </w:rPr>
  </w:style>
  <w:style w:type="paragraph" w:styleId="1278" w:customStyle="1">
    <w:name w:val="插图"/>
    <w:basedOn w:val="858"/>
    <w:uiPriority w:val="0"/>
    <w:qFormat/>
    <w:pPr>
      <w:ind w:firstLine="562"/>
      <w:jc w:val="center"/>
      <w:spacing w:line="360" w:lineRule="auto"/>
      <w:tabs>
        <w:tab w:val="left" w:pos="1620" w:leader="none"/>
      </w:tabs>
    </w:pPr>
    <w:rPr>
      <w:rFonts w:ascii="Times New Roman" w:hAnsi="Times New Roman" w:cs="Times New Roman"/>
      <w:bCs/>
      <w:color w:val="000000"/>
      <w:sz w:val="24"/>
      <w:lang w:val="en-US" w:bidi="ar-SA"/>
    </w:rPr>
  </w:style>
  <w:style w:type="paragraph" w:styleId="1279" w:customStyle="1">
    <w:name w:val="大标题"/>
    <w:basedOn w:val="858"/>
    <w:next w:val="858"/>
    <w:uiPriority w:val="0"/>
    <w:qFormat/>
    <w:pPr>
      <w:ind w:hanging="420"/>
      <w:jc w:val="both"/>
      <w:pageBreakBefore/>
      <w:spacing w:line="360" w:lineRule="auto"/>
      <w:tabs>
        <w:tab w:val="left" w:pos="420" w:leader="none"/>
      </w:tabs>
      <w:outlineLvl w:val="0"/>
    </w:pPr>
    <w:rPr>
      <w:rFonts w:ascii="Times New Roman" w:hAnsi="Times New Roman" w:cs="Times New Roman"/>
      <w:b/>
      <w:iCs/>
      <w:sz w:val="44"/>
      <w:szCs w:val="24"/>
      <w:lang w:val="en-US" w:bidi="ar-SA"/>
    </w:rPr>
  </w:style>
  <w:style w:type="paragraph" w:styleId="1280" w:customStyle="1">
    <w:name w:val="Test2"/>
    <w:basedOn w:val="860"/>
    <w:uiPriority w:val="0"/>
    <w:qFormat/>
    <w:pPr>
      <w:ind w:left="0" w:firstLine="562"/>
      <w:jc w:val="center"/>
      <w:keepLines/>
      <w:keepNext/>
      <w:spacing w:before="156" w:after="156" w:line="480" w:lineRule="exact"/>
      <w:widowControl/>
    </w:pPr>
    <w:rPr>
      <w:rFonts w:ascii="黑体" w:hAnsi="Arial" w:eastAsia="黑体" w:cs="Times New Roman"/>
      <w:sz w:val="24"/>
      <w:szCs w:val="24"/>
      <w:lang w:val="en-US" w:bidi="ar-SA"/>
    </w:rPr>
  </w:style>
  <w:style w:type="paragraph" w:styleId="1281" w:customStyle="1">
    <w:name w:val="xl39"/>
    <w:basedOn w:val="858"/>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sz w:val="24"/>
      <w:szCs w:val="24"/>
      <w:lang w:val="en-US" w:bidi="ar-SA"/>
    </w:rPr>
  </w:style>
  <w:style w:type="character" w:styleId="1282" w:customStyle="1">
    <w:name w:val="case31"/>
    <w:uiPriority w:val="0"/>
    <w:qFormat/>
    <w:rPr>
      <w:rFonts w:ascii="Times New Roman" w:hAnsi="Times New Roman" w:eastAsia="宋体" w:cs="Times New Roman"/>
      <w:sz w:val="21"/>
      <w:szCs w:val="21"/>
    </w:rPr>
  </w:style>
  <w:style w:type="paragraph" w:styleId="1283" w:customStyle="1">
    <w:name w:val="论文正文"/>
    <w:basedOn w:val="894"/>
    <w:uiPriority w:val="0"/>
    <w:qFormat/>
    <w:pPr>
      <w:ind w:left="0" w:firstLine="200"/>
      <w:jc w:val="left"/>
    </w:pPr>
    <w:rPr>
      <w:rFonts w:ascii="Times New Roman" w:hAnsi="Times New Roman" w:eastAsia="宋体" w:cs="Times New Roman"/>
      <w:sz w:val="28"/>
    </w:rPr>
  </w:style>
  <w:style w:type="character" w:styleId="1284" w:customStyle="1">
    <w:name w:val="l-selected"/>
    <w:uiPriority w:val="0"/>
    <w:qFormat/>
    <w:rPr>
      <w:rFonts w:ascii="Times New Roman" w:hAnsi="Times New Roman" w:eastAsia="宋体" w:cs="Times New Roman"/>
      <w:color w:val="355686"/>
      <w:shd w:val="clear" w:color="auto" w:fill="ffffff"/>
    </w:rPr>
  </w:style>
  <w:style w:type="paragraph" w:styleId="1285" w:customStyle="1">
    <w:name w:val="样式"/>
    <w:basedOn w:val="858"/>
    <w:uiPriority w:val="0"/>
    <w:qFormat/>
    <w:pPr>
      <w:ind w:firstLine="562"/>
      <w:jc w:val="both"/>
      <w:spacing w:before="120" w:after="120" w:line="360" w:lineRule="auto"/>
    </w:pPr>
    <w:rPr>
      <w:rFonts w:hAnsi="Times New Roman" w:cs="Times New Roman"/>
      <w:sz w:val="24"/>
      <w:szCs w:val="24"/>
      <w:lang w:val="en-US" w:bidi="ar-SA"/>
    </w:rPr>
  </w:style>
  <w:style w:type="paragraph" w:styleId="1286" w:customStyle="1">
    <w:name w:val="段"/>
    <w:next w:val="858"/>
    <w:uiPriority w:val="0"/>
    <w:qFormat/>
    <w:pPr>
      <w:ind w:firstLine="200"/>
      <w:jc w:val="both"/>
    </w:pPr>
    <w:rPr>
      <w:rFonts w:ascii="宋体" w:hAnsi="Times New Roman" w:eastAsia="宋体" w:cs="Times New Roman"/>
      <w:sz w:val="21"/>
      <w:lang w:val="en-US" w:eastAsia="zh-CN" w:bidi="ar-SA"/>
    </w:rPr>
  </w:style>
  <w:style w:type="paragraph" w:styleId="1287" w:customStyle="1">
    <w:name w:val="段落"/>
    <w:basedOn w:val="858"/>
    <w:uiPriority w:val="0"/>
    <w:qFormat/>
    <w:pPr>
      <w:ind w:firstLine="480"/>
      <w:jc w:val="both"/>
      <w:spacing w:line="460" w:lineRule="exact"/>
    </w:pPr>
    <w:rPr>
      <w:rFonts w:ascii="Times New Roman" w:hAnsi="Times New Roman" w:cs="Times New Roman"/>
      <w:sz w:val="24"/>
      <w:szCs w:val="24"/>
      <w:lang w:val="en-US" w:bidi="ar-SA"/>
    </w:rPr>
  </w:style>
  <w:style w:type="paragraph" w:styleId="1288" w:customStyle="1">
    <w:name w:val="xl29"/>
    <w:basedOn w:val="858"/>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289" w:customStyle="1">
    <w:name w:val="纯文本 Char Char"/>
    <w:uiPriority w:val="0"/>
    <w:qFormat/>
    <w:rPr>
      <w:rFonts w:ascii="宋体" w:hAnsi="Courier New" w:eastAsia="宋体" w:cs="Times New Roman"/>
      <w:sz w:val="21"/>
      <w:szCs w:val="21"/>
      <w:lang w:val="en-US" w:eastAsia="zh-CN" w:bidi="ar-SA"/>
    </w:rPr>
  </w:style>
  <w:style w:type="paragraph" w:styleId="1290" w:customStyle="1">
    <w:name w:val="Default Text"/>
    <w:basedOn w:val="858"/>
    <w:uiPriority w:val="0"/>
    <w:qFormat/>
    <w:pPr>
      <w:ind w:firstLine="562"/>
      <w:spacing w:line="360" w:lineRule="auto"/>
      <w:widowControl/>
    </w:pPr>
    <w:rPr>
      <w:rFonts w:ascii="Times New Roman" w:hAnsi="Times New Roman" w:cs="Times New Roman"/>
      <w:sz w:val="24"/>
      <w:szCs w:val="24"/>
      <w:lang w:val="en-US" w:eastAsia="en-US" w:bidi="ar-SA"/>
    </w:rPr>
  </w:style>
  <w:style w:type="character" w:styleId="1291" w:customStyle="1">
    <w:name w:val="title_emph1"/>
    <w:uiPriority w:val="0"/>
    <w:qFormat/>
    <w:rPr>
      <w:rFonts w:ascii="Arial" w:hAnsi="Times New Roman" w:eastAsia="宋体" w:cs="Arial"/>
      <w:b/>
      <w:bCs/>
      <w:sz w:val="18"/>
      <w:szCs w:val="18"/>
    </w:rPr>
  </w:style>
  <w:style w:type="paragraph" w:styleId="1292" w:customStyle="1">
    <w:name w:val="p0"/>
    <w:basedOn w:val="858"/>
    <w:uiPriority w:val="0"/>
    <w:qFormat/>
    <w:pPr>
      <w:ind w:firstLine="562"/>
      <w:spacing w:before="100" w:beforeAutospacing="1" w:after="100" w:afterAutospacing="1" w:line="360" w:lineRule="auto"/>
      <w:widowControl/>
    </w:pPr>
    <w:rPr>
      <w:sz w:val="24"/>
      <w:szCs w:val="24"/>
      <w:lang w:val="en-US" w:bidi="ar-SA"/>
    </w:rPr>
  </w:style>
  <w:style w:type="character" w:styleId="1293" w:customStyle="1">
    <w:name w:val="列出段落 Char"/>
    <w:link w:val="1093"/>
    <w:uiPriority w:val="0"/>
    <w:qFormat/>
    <w:rPr>
      <w:rFonts w:ascii="宋体" w:hAnsi="宋体" w:cs="宋体"/>
      <w:sz w:val="22"/>
      <w:szCs w:val="22"/>
      <w:lang w:val="zh-CN" w:bidi="zh-CN"/>
    </w:rPr>
  </w:style>
  <w:style w:type="paragraph" w:styleId="1294" w:customStyle="1">
    <w:name w:val="xl48"/>
    <w:basedOn w:val="858"/>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sz w:val="20"/>
      <w:szCs w:val="24"/>
      <w:lang w:val="en-US" w:bidi="ar-SA"/>
    </w:rPr>
  </w:style>
  <w:style w:type="character" w:styleId="1295" w:customStyle="1">
    <w:name w:val="2nd level Char"/>
    <w:uiPriority w:val="0"/>
    <w:qFormat/>
    <w:rPr>
      <w:rFonts w:ascii="Arial" w:hAnsi="Arial" w:eastAsia="黑体" w:cs="Times New Roman"/>
      <w:b/>
      <w:bCs/>
      <w:sz w:val="32"/>
      <w:szCs w:val="32"/>
      <w:lang w:val="en-US" w:eastAsia="zh-CN" w:bidi="ar-SA"/>
    </w:rPr>
  </w:style>
  <w:style w:type="character" w:styleId="1296" w:customStyle="1">
    <w:name w:val="Char Char21"/>
    <w:uiPriority w:val="0"/>
    <w:qFormat/>
    <w:rPr>
      <w:rFonts w:ascii="Arial" w:hAnsi="Arial" w:eastAsia="黑体" w:cs="Times New Roman"/>
      <w:sz w:val="24"/>
      <w:szCs w:val="24"/>
    </w:rPr>
  </w:style>
  <w:style w:type="paragraph" w:styleId="1297" w:customStyle="1">
    <w:name w:val="样式4 Char"/>
    <w:basedOn w:val="858"/>
    <w:uiPriority w:val="0"/>
    <w:qFormat/>
    <w:pPr>
      <w:ind w:firstLine="480"/>
      <w:spacing w:line="360" w:lineRule="auto"/>
      <w:widowControl/>
    </w:pPr>
    <w:rPr>
      <w:rFonts w:ascii="Times New Roman" w:hAnsi="Times New Roman"/>
      <w:color w:val="000000"/>
      <w:sz w:val="24"/>
      <w:szCs w:val="24"/>
      <w:lang w:val="en-US" w:bidi="ar-SA"/>
    </w:rPr>
  </w:style>
  <w:style w:type="paragraph" w:styleId="1298" w:customStyle="1">
    <w:name w:val="xl38"/>
    <w:basedOn w:val="858"/>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299" w:customStyle="1">
    <w:name w:val="_Style 317"/>
    <w:uiPriority w:val="0"/>
    <w:qFormat/>
    <w:rPr>
      <w:rFonts w:ascii="Times New Roman" w:hAnsi="Times New Roman" w:eastAsia="宋体" w:cs="Times New Roman"/>
      <w:sz w:val="21"/>
      <w:szCs w:val="24"/>
      <w:lang w:val="en-US" w:eastAsia="zh-CN" w:bidi="ar-SA"/>
    </w:rPr>
  </w:style>
  <w:style w:type="paragraph" w:styleId="1300" w:customStyle="1">
    <w:name w:val="Char Char Char Char Char"/>
    <w:basedOn w:val="858"/>
    <w:uiPriority w:val="0"/>
    <w:qFormat/>
    <w:pPr>
      <w:ind w:firstLine="562"/>
      <w:jc w:val="both"/>
      <w:spacing w:line="360" w:lineRule="auto"/>
    </w:pPr>
    <w:rPr>
      <w:rFonts w:ascii="Tahoma" w:hAnsi="Tahoma" w:cs="Tahoma"/>
      <w:sz w:val="24"/>
      <w:szCs w:val="24"/>
      <w:lang w:val="en-US" w:bidi="ar-SA"/>
    </w:rPr>
  </w:style>
  <w:style w:type="character" w:styleId="1301" w:customStyle="1">
    <w:name w:val="标题 Char1"/>
    <w:uiPriority w:val="0"/>
    <w:qFormat/>
    <w:rPr>
      <w:rFonts w:ascii="Cambria" w:hAnsi="Times New Roman" w:eastAsia="宋体" w:cs="Times New Roman"/>
      <w:b/>
      <w:bCs/>
      <w:sz w:val="32"/>
      <w:szCs w:val="32"/>
    </w:rPr>
  </w:style>
  <w:style w:type="paragraph" w:styleId="1302" w:customStyle="1">
    <w:name w:val="A."/>
    <w:basedOn w:val="858"/>
    <w:uiPriority w:val="0"/>
    <w:qFormat/>
    <w:pPr>
      <w:ind w:left="5245" w:hanging="1985"/>
      <w:jc w:val="both"/>
      <w:spacing w:before="240" w:line="240" w:lineRule="atLeast"/>
      <w:widowControl/>
      <w:tabs>
        <w:tab w:val="left" w:pos="680" w:leader="none"/>
        <w:tab w:val="left" w:pos="5245" w:leader="none"/>
      </w:tabs>
    </w:pPr>
    <w:rPr>
      <w:rFonts w:ascii="Times New Roman" w:hAnsi="Times New Roman" w:eastAsia="Times New Roman" w:cs="Times New Roman"/>
      <w:sz w:val="24"/>
      <w:szCs w:val="24"/>
      <w:lang w:val="en-US" w:bidi="ar-SA"/>
    </w:rPr>
  </w:style>
  <w:style w:type="character" w:styleId="1303" w:customStyle="1">
    <w:name w:val="小四 段落 宋体 Char Char Char1"/>
    <w:uiPriority w:val="0"/>
    <w:qFormat/>
    <w:rPr>
      <w:rFonts w:ascii="宋体" w:hAnsi="宋体" w:eastAsia="宋体" w:cs="Times New Roman"/>
      <w:sz w:val="24"/>
      <w:szCs w:val="24"/>
      <w:lang w:val="en-US" w:eastAsia="zh-CN" w:bidi="ar-SA"/>
    </w:rPr>
  </w:style>
  <w:style w:type="character" w:styleId="1304" w:customStyle="1">
    <w:name w:val="point_normal1"/>
    <w:uiPriority w:val="0"/>
    <w:qFormat/>
    <w:rPr>
      <w:rFonts w:hint="default" w:ascii="Arial" w:hAnsi="Arial" w:eastAsia="宋体" w:cs="Arial"/>
      <w:sz w:val="18"/>
      <w:szCs w:val="18"/>
    </w:rPr>
  </w:style>
  <w:style w:type="character" w:styleId="1305" w:customStyle="1">
    <w:name w:val="纯文本 Char Char Char"/>
    <w:uiPriority w:val="0"/>
    <w:qFormat/>
    <w:rPr>
      <w:rFonts w:ascii="宋体" w:hAnsi="Courier New" w:eastAsia="宋体" w:cs="Times New Roman"/>
      <w:sz w:val="21"/>
      <w:szCs w:val="21"/>
      <w:lang w:val="en-US" w:eastAsia="zh-CN" w:bidi="ar-SA"/>
    </w:rPr>
  </w:style>
  <w:style w:type="character" w:styleId="130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ascii="Times New Roman" w:hAnsi="Times New Roman" w:eastAsia="宋体" w:cs="Times New Roman"/>
      <w:b/>
      <w:bCs/>
      <w:sz w:val="32"/>
      <w:szCs w:val="32"/>
      <w:lang w:val="en-US" w:eastAsia="zh-CN" w:bidi="ar-SA"/>
    </w:rPr>
  </w:style>
  <w:style w:type="paragraph" w:styleId="1307" w:customStyle="1">
    <w:name w:val="xl45"/>
    <w:basedOn w:val="858"/>
    <w:uiPriority w:val="0"/>
    <w:qFormat/>
    <w:pPr>
      <w:ind w:firstLine="562"/>
      <w:jc w:val="center"/>
      <w:spacing w:before="100" w:beforeAutospacing="1" w:after="100" w:afterAutospacing="1" w:line="360" w:lineRule="auto"/>
      <w:widowControl/>
      <w:pBdr>
        <w:left w:val="single" w:color="auto" w:sz="4" w:space="0"/>
        <w:right w:val="single" w:color="auto" w:sz="4" w:space="0"/>
      </w:pBdr>
    </w:pPr>
    <w:rPr>
      <w:b/>
      <w:bCs/>
      <w:sz w:val="20"/>
      <w:szCs w:val="24"/>
      <w:lang w:val="en-US" w:bidi="ar-SA"/>
    </w:rPr>
  </w:style>
  <w:style w:type="character" w:styleId="1308" w:customStyle="1">
    <w:name w:val="Char Char27"/>
    <w:uiPriority w:val="0"/>
    <w:qFormat/>
    <w:rPr>
      <w:rFonts w:ascii="Times New Roman" w:hAnsi="Times New Roman" w:eastAsia="宋体" w:cs="Times New Roman"/>
      <w:b/>
      <w:bCs/>
      <w:sz w:val="44"/>
      <w:szCs w:val="44"/>
    </w:rPr>
  </w:style>
  <w:style w:type="paragraph" w:styleId="1309" w:customStyle="1">
    <w:name w:val="Char Char Char Char Char Char Char1 Char"/>
    <w:basedOn w:val="858"/>
    <w:uiPriority w:val="0"/>
    <w:qFormat/>
    <w:pPr>
      <w:ind w:firstLine="562"/>
      <w:jc w:val="both"/>
      <w:spacing w:line="360" w:lineRule="auto"/>
    </w:pPr>
    <w:rPr>
      <w:rFonts w:ascii="Tahoma" w:hAnsi="Tahoma" w:cs="Tahoma"/>
      <w:sz w:val="24"/>
      <w:szCs w:val="24"/>
      <w:lang w:val="en-US" w:bidi="ar-SA"/>
    </w:rPr>
  </w:style>
  <w:style w:type="paragraph" w:styleId="1310" w:customStyle="1">
    <w:name w:val="xl30"/>
    <w:basedOn w:val="858"/>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11" w:customStyle="1">
    <w:name w:val="[Normal]"/>
    <w:uiPriority w:val="0"/>
    <w:qFormat/>
    <w:rPr>
      <w:rFonts w:ascii="方正仿宋简体" w:hAnsi="方正仿宋简体" w:eastAsia="方正仿宋简体" w:cs="Courier New"/>
      <w:sz w:val="24"/>
      <w:szCs w:val="22"/>
      <w:lang w:val="zh-CN" w:eastAsia="zh-CN" w:bidi="ar-SA"/>
    </w:rPr>
  </w:style>
  <w:style w:type="paragraph" w:styleId="1312" w:customStyle="1">
    <w:name w:val="符号与编号 Char"/>
    <w:basedOn w:val="858"/>
    <w:uiPriority w:val="0"/>
    <w:qFormat/>
    <w:pPr>
      <w:ind w:left="720" w:firstLine="562"/>
      <w:jc w:val="both"/>
      <w:spacing w:after="156" w:line="400" w:lineRule="atLeast"/>
      <w:tabs>
        <w:tab w:val="left" w:pos="720" w:leader="none"/>
      </w:tabs>
    </w:pPr>
    <w:rPr>
      <w:rFonts w:ascii="Times New Roman" w:hAnsi="Times New Roman" w:cs="Times New Roman"/>
      <w:sz w:val="24"/>
      <w:szCs w:val="24"/>
      <w:lang w:val="en-US" w:bidi="ar-SA"/>
    </w:rPr>
  </w:style>
  <w:style w:type="paragraph" w:styleId="1313" w:customStyle="1">
    <w:name w:val="xl24"/>
    <w:basedOn w:val="858"/>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14" w:customStyle="1">
    <w:name w:val="_Style 188"/>
    <w:uiPriority w:val="0"/>
    <w:qFormat/>
    <w:rPr>
      <w:rFonts w:ascii="Times New Roman" w:hAnsi="Times New Roman" w:eastAsia="宋体" w:cs="Times New Roman"/>
      <w:b/>
      <w:bCs/>
    </w:rPr>
  </w:style>
  <w:style w:type="paragraph" w:styleId="1315" w:customStyle="1">
    <w:name w:val="正文文本 21"/>
    <w:basedOn w:val="858"/>
    <w:uiPriority w:val="0"/>
    <w:qFormat/>
    <w:pPr>
      <w:ind w:left="720" w:hanging="720"/>
      <w:jc w:val="both"/>
      <w:spacing w:line="360" w:lineRule="auto"/>
      <w:widowControl/>
    </w:pPr>
    <w:rPr>
      <w:rFonts w:ascii="Times New Roman" w:hAnsi="Times New Roman" w:cs="Times New Roman"/>
      <w:sz w:val="24"/>
      <w:szCs w:val="24"/>
      <w:lang w:val="en-GB" w:bidi="ar-SA"/>
    </w:rPr>
  </w:style>
  <w:style w:type="paragraph" w:styleId="1316"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317" w:customStyle="1">
    <w:name w:val="样式 样式 首行缩进:  2 字符 + 行距: 1.5 倍行距"/>
    <w:basedOn w:val="858"/>
    <w:uiPriority w:val="0"/>
    <w:qFormat/>
    <w:pPr>
      <w:ind w:firstLine="470"/>
      <w:jc w:val="both"/>
      <w:spacing w:line="360" w:lineRule="auto"/>
    </w:pPr>
    <w:rPr>
      <w:rFonts w:ascii="Times New Roman" w:hAnsi="Times New Roman" w:cs="Times New Roman"/>
      <w:sz w:val="24"/>
      <w:szCs w:val="24"/>
      <w:lang w:val="en-US" w:bidi="ar-SA"/>
    </w:rPr>
  </w:style>
  <w:style w:type="character" w:styleId="1318" w:customStyle="1">
    <w:name w:val="content_lineheight1"/>
    <w:uiPriority w:val="0"/>
    <w:qFormat/>
    <w:rPr>
      <w:rFonts w:ascii="Times New Roman" w:hAnsi="Times New Roman" w:eastAsia="宋体" w:cs="Times New Roman"/>
    </w:rPr>
  </w:style>
  <w:style w:type="paragraph" w:styleId="1319" w:customStyle="1">
    <w:name w:val="font6"/>
    <w:basedOn w:val="858"/>
    <w:uiPriority w:val="0"/>
    <w:qFormat/>
    <w:pPr>
      <w:ind w:firstLine="562"/>
      <w:spacing w:before="100" w:beforeAutospacing="1" w:after="100" w:afterAutospacing="1" w:line="360" w:lineRule="auto"/>
      <w:widowControl/>
    </w:pPr>
    <w:rPr>
      <w:b/>
      <w:bCs/>
      <w:sz w:val="20"/>
      <w:szCs w:val="24"/>
      <w:lang w:val="en-US" w:bidi="ar-SA"/>
    </w:rPr>
  </w:style>
  <w:style w:type="paragraph" w:styleId="1320" w:customStyle="1">
    <w:name w:val="font7"/>
    <w:basedOn w:val="858"/>
    <w:uiPriority w:val="0"/>
    <w:qFormat/>
    <w:pPr>
      <w:ind w:firstLine="562"/>
      <w:spacing w:before="100" w:beforeAutospacing="1" w:after="100" w:afterAutospacing="1" w:line="360" w:lineRule="auto"/>
      <w:widowControl/>
    </w:pPr>
    <w:rPr>
      <w:rFonts w:hint="eastAsia" w:cs="Times New Roman"/>
      <w:b/>
      <w:bCs/>
      <w:sz w:val="24"/>
      <w:szCs w:val="24"/>
      <w:lang w:val="en-US" w:bidi="ar-SA"/>
    </w:rPr>
  </w:style>
  <w:style w:type="character" w:styleId="1321" w:customStyle="1">
    <w:name w:val="￥正文 Char"/>
    <w:link w:val="1182"/>
    <w:uiPriority w:val="0"/>
    <w:qFormat/>
    <w:rPr>
      <w:rFonts w:ascii="宋体" w:hAnsi="宋体" w:cs="宋体"/>
      <w:sz w:val="24"/>
      <w:szCs w:val="24"/>
    </w:rPr>
  </w:style>
  <w:style w:type="paragraph" w:styleId="1322" w:customStyle="1">
    <w:name w:val="项目符号：一级"/>
    <w:basedOn w:val="1203"/>
    <w:next w:val="1203"/>
    <w:uiPriority w:val="0"/>
    <w:qFormat/>
    <w:pPr>
      <w:ind w:right="-134"/>
    </w:pPr>
    <w:rPr>
      <w:rFonts w:ascii="Times New Roman" w:hAnsi="Times New Roman"/>
      <w:bCs w:val="0"/>
    </w:rPr>
  </w:style>
  <w:style w:type="paragraph" w:styleId="1323" w:customStyle="1">
    <w:name w:val="xl56"/>
    <w:basedOn w:val="858"/>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character" w:styleId="1324" w:customStyle="1">
    <w:name w:val="ih151"/>
    <w:uiPriority w:val="0"/>
    <w:qFormat/>
    <w:rPr>
      <w:rFonts w:ascii="Times New Roman" w:hAnsi="Times New Roman" w:eastAsia="宋体" w:cs="Times New Roman"/>
      <w:color w:val="666666"/>
      <w:sz w:val="18"/>
      <w:szCs w:val="18"/>
      <w:u w:val="none"/>
    </w:rPr>
  </w:style>
  <w:style w:type="paragraph" w:styleId="1325" w:customStyle="1">
    <w:name w:val="Char Char1 Char Char Char Char Char Char Char"/>
    <w:basedOn w:val="858"/>
    <w:uiPriority w:val="0"/>
    <w:qFormat/>
    <w:pPr>
      <w:ind w:firstLine="562"/>
      <w:jc w:val="both"/>
      <w:spacing w:line="360" w:lineRule="auto"/>
    </w:pPr>
    <w:rPr>
      <w:rFonts w:ascii="Tahoma" w:hAnsi="Tahoma" w:cs="Tahoma"/>
      <w:sz w:val="24"/>
      <w:szCs w:val="24"/>
      <w:lang w:val="en-US" w:bidi="ar-SA"/>
    </w:rPr>
  </w:style>
  <w:style w:type="paragraph" w:styleId="1326" w:customStyle="1">
    <w:name w:val="样式 标题 2第一章 标题 2Heading 2 HiddenHeading 2 CCBSheading 2H2h2..."/>
    <w:basedOn w:val="860"/>
    <w:uiPriority w:val="0"/>
    <w:qFormat/>
    <w:pPr>
      <w:ind w:left="360" w:hanging="360"/>
      <w:jc w:val="center"/>
      <w:keepNext/>
      <w:spacing w:before="156" w:after="156" w:line="360" w:lineRule="auto"/>
      <w:tabs>
        <w:tab w:val="left" w:pos="360" w:leader="none"/>
      </w:tabs>
    </w:pPr>
    <w:rPr>
      <w:rFonts w:ascii="黑体" w:hAnsi="Times New Roman" w:eastAsia="黑体"/>
      <w:b w:val="0"/>
      <w:bCs w:val="0"/>
      <w:szCs w:val="20"/>
      <w:lang w:val="en-US" w:bidi="ar-SA"/>
    </w:rPr>
  </w:style>
  <w:style w:type="character" w:styleId="1327" w:customStyle="1">
    <w:name w:val="l-open"/>
    <w:uiPriority w:val="0"/>
    <w:qFormat/>
    <w:rPr>
      <w:rFonts w:ascii="Times New Roman" w:hAnsi="Times New Roman" w:eastAsia="宋体" w:cs="Times New Roman"/>
    </w:rPr>
  </w:style>
  <w:style w:type="paragraph" w:styleId="1328" w:customStyle="1">
    <w:name w:val="font14"/>
    <w:basedOn w:val="858"/>
    <w:uiPriority w:val="0"/>
    <w:qFormat/>
    <w:pPr>
      <w:ind w:firstLine="562"/>
      <w:spacing w:before="100" w:beforeAutospacing="1" w:after="100" w:afterAutospacing="1" w:line="360" w:lineRule="auto"/>
      <w:widowControl/>
    </w:pPr>
    <w:rPr>
      <w:rFonts w:ascii="Times New Roman" w:hAnsi="Times New Roman" w:cs="Times New Roman"/>
      <w:sz w:val="36"/>
      <w:szCs w:val="36"/>
      <w:lang w:val="en-US" w:bidi="ar-SA"/>
    </w:rPr>
  </w:style>
  <w:style w:type="paragraph" w:styleId="1329" w:customStyle="1">
    <w:name w:val="xl53"/>
    <w:basedOn w:val="858"/>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paragraph" w:styleId="1330" w:customStyle="1">
    <w:name w:val="样式 小四 行距: 固定值 25 磅8"/>
    <w:basedOn w:val="858"/>
    <w:next w:val="858"/>
    <w:uiPriority w:val="0"/>
    <w:qFormat/>
    <w:pPr>
      <w:ind w:firstLine="464"/>
      <w:jc w:val="both"/>
      <w:spacing w:line="500" w:lineRule="exact"/>
    </w:pPr>
    <w:rPr>
      <w:rFonts w:ascii="Times New Roman" w:hAnsi="Times New Roman"/>
      <w:sz w:val="24"/>
      <w:szCs w:val="24"/>
      <w:lang w:val="en-US" w:bidi="ar-SA"/>
    </w:rPr>
  </w:style>
  <w:style w:type="paragraph" w:styleId="1331" w:customStyle="1">
    <w:name w:val="xl40"/>
    <w:basedOn w:val="858"/>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32" w:customStyle="1">
    <w:name w:val="样式 标题 3H3sect1.2.3BOD 0Heading 3 - oldh3l3CTLevel 3 Head..."/>
    <w:basedOn w:val="861"/>
    <w:uiPriority w:val="0"/>
    <w:qFormat/>
    <w:pPr>
      <w:ind w:left="0" w:firstLine="562"/>
      <w:keepLines/>
      <w:keepNext/>
      <w:spacing w:before="156" w:after="156" w:line="390" w:lineRule="atLeast"/>
      <w:shd w:val="clear" w:color="auto" w:fill="ffffff"/>
    </w:pPr>
    <w:rPr>
      <w:rFonts w:ascii="Times New Roman" w:hAnsi="Times New Roman"/>
      <w:b/>
      <w:bCs/>
      <w:sz w:val="30"/>
      <w:szCs w:val="21"/>
      <w:lang w:val="en-US" w:bidi="ar-SA"/>
    </w:rPr>
  </w:style>
  <w:style w:type="character" w:styleId="1333" w:customStyle="1">
    <w:name w:val="Char Char2"/>
    <w:uiPriority w:val="0"/>
    <w:qFormat/>
    <w:rPr>
      <w:rFonts w:ascii="宋体" w:hAnsi="Courier New" w:eastAsia="宋体" w:cs="Times New Roman"/>
      <w:sz w:val="21"/>
      <w:szCs w:val="21"/>
      <w:lang w:val="en-US" w:eastAsia="zh-CN" w:bidi="ar-SA"/>
    </w:rPr>
  </w:style>
  <w:style w:type="paragraph" w:styleId="1334" w:customStyle="1">
    <w:name w:val="普通正文"/>
    <w:basedOn w:val="858"/>
    <w:uiPriority w:val="0"/>
    <w:qFormat/>
    <w:pPr>
      <w:ind w:firstLine="480"/>
      <w:spacing w:line="360" w:lineRule="auto"/>
    </w:pPr>
    <w:rPr>
      <w:rFonts w:ascii="Arial" w:hAnsi="Arial" w:cs="Times New Roman"/>
      <w:sz w:val="24"/>
      <w:szCs w:val="24"/>
      <w:lang w:val="en-US" w:bidi="ar-SA"/>
    </w:rPr>
  </w:style>
  <w:style w:type="paragraph" w:styleId="1335" w:customStyle="1">
    <w:name w:val="正文1"/>
    <w:basedOn w:val="858"/>
    <w:next w:val="858"/>
    <w:uiPriority w:val="0"/>
    <w:qFormat/>
    <w:pPr>
      <w:ind w:firstLine="510"/>
      <w:jc w:val="both"/>
      <w:spacing w:before="156" w:line="360" w:lineRule="auto"/>
    </w:pPr>
    <w:rPr>
      <w:rFonts w:ascii="Times New Roman" w:hAnsi="Times New Roman" w:cs="Times New Roman"/>
      <w:sz w:val="24"/>
      <w:szCs w:val="24"/>
      <w:lang w:val="en-US" w:bidi="ar-SA"/>
    </w:rPr>
  </w:style>
  <w:style w:type="character" w:styleId="1336" w:customStyle="1">
    <w:name w:val="特点 Char1"/>
    <w:uiPriority w:val="0"/>
    <w:qFormat/>
    <w:rPr>
      <w:rFonts w:ascii="Times New Roman" w:hAnsi="Times New Roman" w:eastAsia="宋体" w:cs="Times New Roman"/>
      <w:sz w:val="21"/>
      <w:lang w:val="en-US" w:eastAsia="zh-CN" w:bidi="ar-SA"/>
    </w:rPr>
  </w:style>
  <w:style w:type="paragraph" w:styleId="1337"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character" w:styleId="1338" w:customStyle="1">
    <w:name w:val="_Style 150"/>
    <w:uiPriority w:val="0"/>
    <w:qFormat/>
    <w:rPr>
      <w:rFonts w:ascii="Times New Roman" w:hAnsi="Times New Roman" w:eastAsia="宋体" w:cs="Times New Roman"/>
      <w:i/>
      <w:iCs/>
    </w:rPr>
  </w:style>
  <w:style w:type="paragraph" w:styleId="1339" w:customStyle="1">
    <w:name w:val="小四 段落 宋体 Char Char"/>
    <w:basedOn w:val="858"/>
    <w:uiPriority w:val="0"/>
    <w:qFormat/>
    <w:pPr>
      <w:ind w:firstLine="480"/>
      <w:jc w:val="both"/>
      <w:spacing w:line="360" w:lineRule="auto"/>
    </w:pPr>
    <w:rPr>
      <w:rFonts w:cs="Times New Roman"/>
      <w:sz w:val="24"/>
      <w:szCs w:val="24"/>
      <w:lang w:val="en-US" w:bidi="ar-SA"/>
    </w:rPr>
  </w:style>
  <w:style w:type="paragraph" w:styleId="1340" w:customStyle="1">
    <w:name w:val="xl37"/>
    <w:basedOn w:val="858"/>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i/>
      <w:iCs/>
      <w:sz w:val="20"/>
      <w:szCs w:val="24"/>
      <w:lang w:val="en-US" w:bidi="ar-SA"/>
    </w:rPr>
  </w:style>
  <w:style w:type="paragraph" w:styleId="1341" w:customStyle="1">
    <w:name w:val="Char Char1 Char Char Char Char"/>
    <w:basedOn w:val="878"/>
    <w:uiPriority w:val="0"/>
    <w:qFormat/>
    <w:pPr>
      <w:ind w:left="357"/>
      <w:jc w:val="left"/>
      <w:spacing w:line="436" w:lineRule="exact"/>
      <w:outlineLvl w:val="3"/>
    </w:pPr>
    <w:rPr>
      <w:rFonts w:ascii="Tahoma" w:hAnsi="Tahoma" w:cs="Tahoma"/>
      <w:b/>
    </w:rPr>
  </w:style>
  <w:style w:type="paragraph" w:styleId="1342" w:customStyle="1">
    <w:name w:val="普通文字"/>
    <w:basedOn w:val="858"/>
    <w:next w:val="858"/>
    <w:uiPriority w:val="0"/>
    <w:qFormat/>
    <w:pPr>
      <w:ind w:firstLine="562"/>
      <w:jc w:val="both"/>
      <w:spacing w:line="360" w:lineRule="auto"/>
    </w:pPr>
    <w:rPr>
      <w:sz w:val="24"/>
      <w:szCs w:val="24"/>
      <w:lang w:val="en-US" w:bidi="ar-SA"/>
    </w:rPr>
  </w:style>
  <w:style w:type="paragraph" w:styleId="1343" w:customStyle="1">
    <w:name w:val="标题 4宋体"/>
    <w:basedOn w:val="862"/>
    <w:uiPriority w:val="0"/>
    <w:qFormat/>
    <w:pPr>
      <w:ind w:left="0" w:firstLine="562"/>
      <w:keepNext/>
      <w:spacing w:line="360" w:lineRule="auto"/>
    </w:pPr>
    <w:rPr>
      <w:rFonts w:cs="Times New Roman"/>
      <w:b/>
      <w:bCs/>
      <w:color w:val="000000"/>
      <w:lang w:val="en-US" w:bidi="ar-SA"/>
    </w:rPr>
  </w:style>
  <w:style w:type="paragraph" w:styleId="1344" w:customStyle="1">
    <w:name w:val="表格内容"/>
    <w:basedOn w:val="858"/>
    <w:uiPriority w:val="0"/>
    <w:qFormat/>
    <w:pPr>
      <w:ind w:firstLine="562"/>
      <w:jc w:val="center"/>
      <w:spacing w:before="60" w:line="300" w:lineRule="auto"/>
      <w:widowControl/>
    </w:pPr>
    <w:rPr>
      <w:rFonts w:ascii="Times New Roman" w:hAnsi="Times New Roman" w:cs="Times New Roman"/>
      <w:sz w:val="24"/>
      <w:szCs w:val="24"/>
      <w:lang w:val="en-US" w:bidi="ar-SA"/>
    </w:rPr>
  </w:style>
  <w:style w:type="character" w:styleId="1345" w:customStyle="1">
    <w:name w:val="标题 3 Char"/>
    <w:uiPriority w:val="0"/>
    <w:qFormat/>
    <w:rPr>
      <w:rFonts w:ascii="宋体" w:hAnsi="宋体" w:eastAsia="宋体" w:cs="Times New Roman"/>
      <w:b/>
      <w:bCs/>
      <w:sz w:val="24"/>
      <w:szCs w:val="32"/>
      <w:lang w:val="en-US" w:eastAsia="zh-CN" w:bidi="ar-SA"/>
    </w:rPr>
  </w:style>
  <w:style w:type="paragraph" w:styleId="1346" w:customStyle="1">
    <w:name w:val="00-表格的正文"/>
    <w:basedOn w:val="858"/>
    <w:uiPriority w:val="0"/>
    <w:qFormat/>
    <w:pPr>
      <w:ind w:firstLine="562"/>
      <w:spacing w:line="440" w:lineRule="exact"/>
    </w:pPr>
    <w:rPr>
      <w:rFonts w:ascii="楷体" w:hAnsi="楷体" w:cs="Times New Roman"/>
      <w:color w:val="000000"/>
      <w:sz w:val="20"/>
      <w:szCs w:val="24"/>
      <w:lang w:val="en-US" w:bidi="ar-SA"/>
    </w:rPr>
  </w:style>
  <w:style w:type="paragraph" w:styleId="1347" w:customStyle="1">
    <w:name w:val="Char Char Char Char Char Char Char Char Char Char Char Char Char"/>
    <w:basedOn w:val="878"/>
    <w:uiPriority w:val="0"/>
    <w:qFormat/>
    <w:rPr>
      <w:rFonts w:ascii="Tahoma" w:hAnsi="Tahoma" w:cs="Times New Roman"/>
    </w:rPr>
  </w:style>
  <w:style w:type="paragraph" w:styleId="1348" w:customStyle="1">
    <w:name w:val="一级条标题"/>
    <w:basedOn w:val="1349"/>
    <w:next w:val="1286"/>
    <w:uiPriority w:val="0"/>
    <w:qFormat/>
    <w:pPr>
      <w:outlineLvl w:val="2"/>
    </w:pPr>
    <w:rPr>
      <w:rFonts w:ascii="Calibri" w:hAnsi="Calibri"/>
      <w:szCs w:val="21"/>
    </w:rPr>
  </w:style>
  <w:style w:type="paragraph" w:styleId="1349" w:customStyle="1">
    <w:name w:val="章标题"/>
    <w:next w:val="1286"/>
    <w:uiPriority w:val="0"/>
    <w:qFormat/>
    <w:pPr>
      <w:jc w:val="both"/>
      <w:spacing w:before="156" w:after="156"/>
      <w:outlineLvl w:val="1"/>
    </w:pPr>
    <w:rPr>
      <w:rFonts w:ascii="Times New Roman" w:hAnsi="Times New Roman" w:eastAsia="黑体" w:cs="Times New Roman"/>
      <w:sz w:val="21"/>
      <w:lang w:val="en-US" w:eastAsia="zh-CN" w:bidi="ar-SA"/>
    </w:rPr>
  </w:style>
  <w:style w:type="paragraph" w:styleId="1350" w:customStyle="1">
    <w:name w:val="标准文本"/>
    <w:basedOn w:val="858"/>
    <w:uiPriority w:val="0"/>
    <w:qFormat/>
    <w:pPr>
      <w:ind w:firstLine="480"/>
      <w:jc w:val="both"/>
      <w:spacing w:line="360" w:lineRule="auto"/>
    </w:pPr>
    <w:rPr>
      <w:rFonts w:ascii="Times New Roman" w:hAnsi="Times New Roman"/>
      <w:sz w:val="24"/>
      <w:szCs w:val="24"/>
      <w:lang w:val="en-US" w:bidi="ar-SA"/>
    </w:rPr>
  </w:style>
  <w:style w:type="paragraph" w:styleId="1351" w:customStyle="1">
    <w:name w:val="font9"/>
    <w:basedOn w:val="858"/>
    <w:uiPriority w:val="0"/>
    <w:qFormat/>
    <w:pPr>
      <w:ind w:firstLine="562"/>
      <w:spacing w:before="100" w:beforeAutospacing="1" w:after="100" w:afterAutospacing="1" w:line="360" w:lineRule="auto"/>
      <w:widowControl/>
    </w:pPr>
    <w:rPr>
      <w:rFonts w:ascii="Times New Roman" w:hAnsi="Times New Roman" w:cs="Times New Roman"/>
      <w:b/>
      <w:bCs/>
      <w:sz w:val="20"/>
      <w:szCs w:val="24"/>
      <w:lang w:val="en-US" w:bidi="ar-SA"/>
    </w:rPr>
  </w:style>
  <w:style w:type="character" w:styleId="1352" w:customStyle="1">
    <w:name w:val="style13"/>
    <w:uiPriority w:val="0"/>
    <w:qFormat/>
    <w:rPr>
      <w:rFonts w:ascii="Times New Roman" w:hAnsi="Times New Roman" w:eastAsia="宋体" w:cs="Times New Roman"/>
      <w:sz w:val="18"/>
      <w:szCs w:val="18"/>
    </w:rPr>
  </w:style>
  <w:style w:type="character" w:styleId="1353" w:customStyle="1">
    <w:name w:val="标准文本 Char"/>
    <w:uiPriority w:val="0"/>
    <w:qFormat/>
    <w:rPr>
      <w:rFonts w:ascii="Times New Roman" w:hAnsi="Times New Roman" w:eastAsia="宋体" w:cs="宋体"/>
      <w:sz w:val="24"/>
      <w:szCs w:val="24"/>
      <w:lang w:val="en-US" w:eastAsia="zh-CN" w:bidi="ar-SA"/>
    </w:rPr>
  </w:style>
  <w:style w:type="paragraph" w:styleId="1354" w:customStyle="1">
    <w:name w:val="样式2"/>
    <w:basedOn w:val="858"/>
    <w:uiPriority w:val="0"/>
    <w:qFormat/>
    <w:pPr>
      <w:ind w:left="200" w:firstLine="562"/>
      <w:jc w:val="both"/>
      <w:spacing w:line="360" w:lineRule="auto"/>
    </w:pPr>
    <w:rPr>
      <w:rFonts w:cs="Times New Roman"/>
      <w:b/>
      <w:sz w:val="24"/>
      <w:szCs w:val="24"/>
      <w:lang w:val="en-US" w:bidi="ar-SA"/>
    </w:rPr>
  </w:style>
  <w:style w:type="paragraph" w:styleId="1355" w:customStyle="1">
    <w:name w:val="马刚标题4"/>
    <w:basedOn w:val="1236"/>
    <w:next w:val="858"/>
    <w:uiPriority w:val="0"/>
    <w:qFormat/>
    <w:pPr>
      <w:spacing w:before="100" w:after="40"/>
      <w:tabs>
        <w:tab w:val="clear" w:pos="567" w:leader="none"/>
        <w:tab w:val="clear" w:pos="735" w:leader="none"/>
        <w:tab w:val="left" w:pos="1050" w:leader="none"/>
      </w:tabs>
      <w:outlineLvl w:val="3"/>
    </w:pPr>
    <w:rPr>
      <w:rFonts w:ascii="Times New Roman" w:hAnsi="Times New Roman" w:eastAsia="宋体"/>
      <w:b w:val="0"/>
    </w:rPr>
  </w:style>
  <w:style w:type="paragraph" w:styleId="1356" w:customStyle="1">
    <w:name w:val="小四 段落 宋体 Char"/>
    <w:basedOn w:val="874"/>
    <w:uiPriority w:val="0"/>
    <w:qFormat/>
    <w:pPr>
      <w:ind w:left="0" w:right="-33" w:firstLine="600"/>
      <w:jc w:val="left"/>
      <w:tabs>
        <w:tab w:val="clear" w:pos="2952" w:leader="none"/>
      </w:tabs>
    </w:pPr>
    <w:rPr>
      <w:rFonts w:ascii="仿宋_GB2312" w:eastAsia="仿宋_GB2312"/>
      <w:sz w:val="30"/>
      <w:szCs w:val="30"/>
    </w:rPr>
  </w:style>
  <w:style w:type="paragraph" w:styleId="1357" w:customStyle="1">
    <w:name w:val="Normal1"/>
    <w:basedOn w:val="858"/>
    <w:uiPriority w:val="0"/>
    <w:qFormat/>
    <w:pPr>
      <w:ind w:firstLine="562"/>
      <w:jc w:val="both"/>
      <w:spacing w:line="360" w:lineRule="auto"/>
    </w:pPr>
    <w:rPr>
      <w:rFonts w:ascii="Calibri" w:hAnsi="Calibri" w:eastAsia="Calibri"/>
      <w:sz w:val="24"/>
      <w:szCs w:val="24"/>
      <w:lang w:bidi="ar-SA"/>
    </w:rPr>
  </w:style>
  <w:style w:type="paragraph" w:styleId="1358" w:customStyle="1">
    <w:name w:val="样式 样式 标题 3H3sect1.2.3BOD 0Heading 3 - oldh3l3CTLevel 3 Head... +..."/>
    <w:basedOn w:val="858"/>
    <w:uiPriority w:val="0"/>
    <w:qFormat/>
    <w:pPr>
      <w:ind w:firstLine="562"/>
      <w:keepLines/>
      <w:keepNext/>
      <w:spacing w:before="156" w:after="156" w:line="360" w:lineRule="auto"/>
      <w:outlineLvl w:val="2"/>
    </w:pPr>
    <w:rPr>
      <w:rFonts w:ascii="Times New Roman" w:hAnsi="Times New Roman"/>
      <w:b/>
      <w:bCs/>
      <w:sz w:val="24"/>
      <w:szCs w:val="24"/>
      <w:lang w:val="en-US" w:bidi="ar-SA"/>
    </w:rPr>
  </w:style>
  <w:style w:type="paragraph" w:styleId="1359" w:customStyle="1">
    <w:name w:val="xl41"/>
    <w:basedOn w:val="858"/>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character" w:styleId="1360" w:customStyle="1">
    <w:name w:val="Char Char28"/>
    <w:uiPriority w:val="0"/>
    <w:qFormat/>
    <w:rPr>
      <w:rFonts w:ascii="Arial" w:hAnsi="Arial" w:eastAsia="黑体" w:cs="Arial"/>
      <w:b/>
      <w:bCs/>
      <w:sz w:val="32"/>
      <w:szCs w:val="32"/>
    </w:rPr>
  </w:style>
  <w:style w:type="paragraph" w:styleId="1361" w:customStyle="1">
    <w:name w:val="xl26"/>
    <w:basedOn w:val="858"/>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4"/>
      <w:lang w:val="en-US" w:bidi="ar-SA"/>
    </w:rPr>
  </w:style>
  <w:style w:type="paragraph" w:styleId="1362" w:customStyle="1">
    <w:name w:val="Char Char1 Char Char Char Char1 Char Char Char Char Char Char"/>
    <w:basedOn w:val="858"/>
    <w:uiPriority w:val="0"/>
    <w:qFormat/>
    <w:pPr>
      <w:ind w:firstLine="562"/>
      <w:jc w:val="both"/>
      <w:spacing w:line="360" w:lineRule="auto"/>
    </w:pPr>
    <w:rPr>
      <w:rFonts w:ascii="Tahoma" w:hAnsi="Tahoma" w:cs="Times New Roman"/>
      <w:sz w:val="24"/>
      <w:szCs w:val="24"/>
      <w:lang w:val="en-US" w:bidi="ar-SA"/>
    </w:rPr>
  </w:style>
  <w:style w:type="paragraph" w:styleId="1363" w:customStyle="1">
    <w:name w:val="xl57"/>
    <w:basedOn w:val="858"/>
    <w:uiPriority w:val="0"/>
    <w:qFormat/>
    <w:pPr>
      <w:ind w:firstLine="562"/>
      <w:jc w:val="center"/>
      <w:spacing w:before="100" w:beforeAutospacing="1" w:after="100" w:afterAutospacing="1" w:line="360" w:lineRule="auto"/>
      <w:widowControl/>
      <w:pBdr>
        <w:top w:val="single" w:color="auto" w:sz="4" w:space="0"/>
        <w:left w:val="single" w:color="auto" w:sz="4" w:space="0"/>
        <w:right w:val="single" w:color="auto" w:sz="4" w:space="0"/>
      </w:pBdr>
    </w:pPr>
    <w:rPr>
      <w:rFonts w:ascii="Times New Roman" w:hAnsi="Times New Roman" w:cs="Times New Roman"/>
      <w:b/>
      <w:bCs/>
      <w:i/>
      <w:iCs/>
      <w:sz w:val="20"/>
      <w:szCs w:val="24"/>
      <w:lang w:val="en-US" w:bidi="ar-SA"/>
    </w:rPr>
  </w:style>
  <w:style w:type="paragraph" w:styleId="1364" w:customStyle="1">
    <w:name w:val="xl34"/>
    <w:basedOn w:val="858"/>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65" w:customStyle="1">
    <w:name w:val="Char Char24"/>
    <w:uiPriority w:val="0"/>
    <w:qFormat/>
    <w:rPr>
      <w:rFonts w:ascii="Times New Roman" w:hAnsi="Times New Roman" w:eastAsia="宋体" w:cs="Times New Roman"/>
      <w:b/>
      <w:bCs/>
      <w:sz w:val="28"/>
      <w:szCs w:val="28"/>
    </w:rPr>
  </w:style>
  <w:style w:type="paragraph" w:styleId="1366" w:customStyle="1">
    <w:name w:val="样式 样式 首行缩进:  0.74 厘米 行距: 1.5 倍行距 + 段后: 0.5 行"/>
    <w:basedOn w:val="858"/>
    <w:uiPriority w:val="0"/>
    <w:qFormat/>
    <w:pPr>
      <w:ind w:firstLine="420"/>
      <w:jc w:val="both"/>
      <w:spacing w:line="360" w:lineRule="auto"/>
    </w:pPr>
    <w:rPr>
      <w:rFonts w:ascii="楷体_GB2312" w:hAnsi="Times New Roman" w:eastAsia="楷体_GB2312" w:cs="Times New Roman"/>
      <w:bCs/>
      <w:sz w:val="24"/>
      <w:szCs w:val="24"/>
      <w:lang w:val="en-US" w:bidi="ar-SA"/>
    </w:rPr>
  </w:style>
  <w:style w:type="paragraph" w:styleId="1367" w:customStyle="1">
    <w:name w:val="表蕊"/>
    <w:basedOn w:val="858"/>
    <w:uiPriority w:val="0"/>
    <w:qFormat/>
    <w:pPr>
      <w:ind w:firstLine="562"/>
      <w:spacing w:line="320" w:lineRule="atLeast"/>
    </w:pPr>
    <w:rPr>
      <w:rFonts w:ascii="Times New Roman" w:hAnsi="Times New Roman" w:eastAsia="楷体_GB2312" w:cs="Times New Roman"/>
      <w:spacing w:val="-10"/>
      <w:sz w:val="24"/>
      <w:szCs w:val="24"/>
      <w:lang w:val="en-US" w:bidi="ar-SA"/>
    </w:rPr>
  </w:style>
  <w:style w:type="paragraph" w:styleId="1368" w:customStyle="1">
    <w:name w:val="默认段落字体 Para Char Char Char Char Char Char Char Char Char1 Char Char Char Char Char Char Char"/>
    <w:basedOn w:val="878"/>
    <w:uiPriority w:val="0"/>
    <w:qFormat/>
    <w:rPr>
      <w:rFonts w:ascii="Times New Roman" w:hAnsi="Times New Roman" w:cs="Times New Roman"/>
    </w:rPr>
  </w:style>
  <w:style w:type="character" w:styleId="1369" w:customStyle="1">
    <w:name w:val="正文缩进 Char1"/>
    <w:link w:val="1370"/>
    <w:uiPriority w:val="0"/>
    <w:qFormat/>
  </w:style>
  <w:style w:type="paragraph" w:styleId="1370" w:customStyle="1">
    <w:name w:val="Normal Indent1"/>
    <w:basedOn w:val="858"/>
    <w:link w:val="1369"/>
    <w:uiPriority w:val="0"/>
    <w:qFormat/>
    <w:pPr>
      <w:ind w:firstLine="420"/>
      <w:jc w:val="both"/>
      <w:spacing w:line="360" w:lineRule="auto"/>
    </w:pPr>
    <w:rPr>
      <w:rFonts w:ascii="Times New Roman" w:hAnsi="Times New Roman" w:cs="Times New Roman"/>
      <w:sz w:val="20"/>
      <w:szCs w:val="20"/>
      <w:lang w:val="en-US" w:bidi="ar-SA"/>
    </w:rPr>
  </w:style>
  <w:style w:type="paragraph" w:styleId="1371" w:customStyle="1">
    <w:name w:val="Char Char Char Char"/>
    <w:basedOn w:val="858"/>
    <w:uiPriority w:val="0"/>
    <w:qFormat/>
    <w:pPr>
      <w:ind w:firstLine="562"/>
      <w:jc w:val="center"/>
      <w:spacing w:after="160" w:line="240" w:lineRule="exact"/>
      <w:widowControl/>
    </w:pPr>
    <w:rPr>
      <w:rFonts w:ascii="黑体" w:hAnsi="Verdana" w:eastAsia="黑体" w:cs="Times New Roman"/>
      <w:sz w:val="32"/>
      <w:szCs w:val="32"/>
      <w:lang w:val="en-US" w:eastAsia="en-US" w:bidi="ar-SA"/>
    </w:rPr>
  </w:style>
  <w:style w:type="character" w:styleId="1372" w:customStyle="1">
    <w:name w:val="t1"/>
    <w:uiPriority w:val="0"/>
    <w:qFormat/>
    <w:rPr>
      <w:rFonts w:ascii="Times New Roman" w:hAnsi="Times New Roman" w:eastAsia="宋体" w:cs="Times New Roman"/>
    </w:rPr>
  </w:style>
  <w:style w:type="paragraph" w:styleId="1373"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374" w:customStyle="1">
    <w:name w:val="xl32"/>
    <w:basedOn w:val="858"/>
    <w:uiPriority w:val="0"/>
    <w:qFormat/>
    <w:pPr>
      <w:ind w:firstLine="562"/>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4"/>
      <w:lang w:val="en-US" w:bidi="ar-SA"/>
    </w:rPr>
  </w:style>
  <w:style w:type="character" w:styleId="1375" w:customStyle="1">
    <w:name w:val="l-selected2"/>
    <w:uiPriority w:val="0"/>
    <w:qFormat/>
    <w:rPr>
      <w:rFonts w:ascii="Times New Roman" w:hAnsi="Times New Roman" w:eastAsia="宋体" w:cs="Times New Roman"/>
      <w:color w:val="355686"/>
      <w:shd w:val="clear" w:color="auto" w:fill="ffffff"/>
    </w:rPr>
  </w:style>
  <w:style w:type="paragraph" w:styleId="1376" w:customStyle="1">
    <w:name w:val="表"/>
    <w:uiPriority w:val="0"/>
    <w:qFormat/>
    <w:pPr>
      <w:jc w:val="center"/>
      <w:spacing w:before="20" w:after="20"/>
    </w:pPr>
    <w:rPr>
      <w:rFonts w:ascii="Times New Roman" w:hAnsi="Times New Roman" w:eastAsia="微软雅黑" w:cstheme="minorBidi"/>
      <w:sz w:val="21"/>
      <w:szCs w:val="22"/>
      <w:lang w:val="en-US" w:eastAsia="zh-CN" w:bidi="ar-SA"/>
    </w:rPr>
  </w:style>
  <w:style w:type="paragraph" w:styleId="1377" w:customStyle="1">
    <w:name w:val="xl55"/>
    <w:basedOn w:val="858"/>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sz w:val="20"/>
      <w:szCs w:val="24"/>
      <w:lang w:val="en-US" w:bidi="ar-SA"/>
    </w:rPr>
  </w:style>
  <w:style w:type="character" w:styleId="1378" w:customStyle="1">
    <w:name w:val="Char Char23"/>
    <w:uiPriority w:val="0"/>
    <w:qFormat/>
    <w:rPr>
      <w:rFonts w:ascii="Arial" w:hAnsi="Arial" w:eastAsia="黑体" w:cs="Times New Roman"/>
      <w:b/>
      <w:bCs/>
      <w:sz w:val="24"/>
      <w:szCs w:val="24"/>
    </w:rPr>
  </w:style>
  <w:style w:type="paragraph" w:styleId="1379" w:customStyle="1">
    <w:name w:val="_Style 1"/>
    <w:basedOn w:val="858"/>
    <w:uiPriority w:val="0"/>
    <w:qFormat/>
    <w:pPr>
      <w:ind w:firstLine="420"/>
      <w:jc w:val="both"/>
      <w:spacing w:line="360" w:lineRule="auto"/>
    </w:pPr>
    <w:rPr>
      <w:rFonts w:ascii="Calibri" w:hAnsi="Calibri" w:cs="Times New Roman"/>
      <w:sz w:val="24"/>
      <w:lang w:val="en-US" w:bidi="ar-SA"/>
    </w:rPr>
  </w:style>
  <w:style w:type="paragraph" w:styleId="1380" w:customStyle="1">
    <w:name w:val="正文lzq"/>
    <w:basedOn w:val="858"/>
    <w:uiPriority w:val="0"/>
    <w:qFormat/>
    <w:pPr>
      <w:ind w:firstLine="480"/>
      <w:jc w:val="both"/>
      <w:spacing w:line="360" w:lineRule="auto"/>
    </w:pPr>
    <w:rPr>
      <w:rFonts w:ascii="Times New Roman" w:hAnsi="Times New Roman" w:cs="Times New Roman"/>
      <w:sz w:val="24"/>
      <w:szCs w:val="24"/>
      <w:lang w:val="en-US" w:bidi="ar-SA"/>
    </w:rPr>
  </w:style>
  <w:style w:type="character" w:styleId="1381" w:customStyle="1">
    <w:name w:val="表格抬头 Char"/>
    <w:link w:val="1228"/>
    <w:uiPriority w:val="0"/>
    <w:qFormat/>
    <w:rPr>
      <w:rFonts w:ascii="黑体" w:hAnsi="宋体" w:eastAsia="黑体" w:cs="宋体"/>
      <w:b/>
      <w:sz w:val="24"/>
      <w:szCs w:val="24"/>
    </w:rPr>
  </w:style>
  <w:style w:type="paragraph" w:styleId="1382" w:customStyle="1">
    <w:name w:val="标题3，章节第三层"/>
    <w:basedOn w:val="858"/>
    <w:next w:val="1203"/>
    <w:uiPriority w:val="0"/>
    <w:qFormat/>
    <w:pPr>
      <w:ind w:firstLine="562"/>
      <w:jc w:val="both"/>
      <w:spacing w:before="78" w:line="300" w:lineRule="auto"/>
      <w:outlineLvl w:val="2"/>
    </w:pPr>
    <w:rPr>
      <w:rFonts w:ascii="Arial" w:hAnsi="Arial" w:eastAsia="华文细黑" w:cs="Times New Roman"/>
      <w:sz w:val="30"/>
      <w:szCs w:val="24"/>
      <w:lang w:val="en-US" w:bidi="ar-SA"/>
    </w:rPr>
  </w:style>
  <w:style w:type="paragraph" w:styleId="1383" w:customStyle="1">
    <w:name w:val="表格文字"/>
    <w:basedOn w:val="858"/>
    <w:uiPriority w:val="0"/>
    <w:qFormat/>
    <w:pPr>
      <w:ind w:firstLine="200"/>
      <w:spacing w:line="360" w:lineRule="auto"/>
    </w:pPr>
    <w:rPr>
      <w:rFonts w:ascii="Arial" w:hAnsi="Arial" w:cs="Times New Roman"/>
      <w:sz w:val="24"/>
      <w:szCs w:val="24"/>
      <w:lang w:val="en-US" w:bidi="ar-SA"/>
    </w:rPr>
  </w:style>
  <w:style w:type="character" w:styleId="1384" w:customStyle="1">
    <w:name w:val="listbenefit"/>
    <w:uiPriority w:val="0"/>
    <w:qFormat/>
    <w:rPr>
      <w:rFonts w:ascii="Times New Roman" w:hAnsi="Times New Roman" w:eastAsia="宋体" w:cs="Times New Roman"/>
    </w:rPr>
  </w:style>
  <w:style w:type="paragraph" w:styleId="1385" w:customStyle="1">
    <w:name w:val="表格"/>
    <w:basedOn w:val="858"/>
    <w:uiPriority w:val="0"/>
    <w:qFormat/>
    <w:pPr>
      <w:ind w:firstLine="21"/>
      <w:jc w:val="both"/>
      <w:spacing w:line="360" w:lineRule="auto"/>
    </w:pPr>
    <w:rPr>
      <w:sz w:val="20"/>
      <w:szCs w:val="24"/>
      <w:lang w:val="en-US" w:bidi="ar-SA"/>
    </w:rPr>
  </w:style>
  <w:style w:type="paragraph" w:styleId="1386" w:customStyle="1">
    <w:name w:val="纯文本1"/>
    <w:basedOn w:val="858"/>
    <w:uiPriority w:val="0"/>
    <w:qFormat/>
    <w:pPr>
      <w:ind w:firstLine="562"/>
      <w:jc w:val="both"/>
      <w:spacing w:line="360" w:lineRule="auto"/>
    </w:pPr>
    <w:rPr>
      <w:rFonts w:eastAsia="楷体_GB2312"/>
      <w:sz w:val="28"/>
      <w:szCs w:val="24"/>
      <w:lang w:val="en-US" w:bidi="ar-SA"/>
    </w:rPr>
  </w:style>
  <w:style w:type="paragraph" w:styleId="1387" w:customStyle="1">
    <w:name w:val="xl52"/>
    <w:basedOn w:val="858"/>
    <w:uiPriority w:val="0"/>
    <w:qFormat/>
    <w:pPr>
      <w:ind w:firstLine="562"/>
      <w:jc w:val="center"/>
      <w:spacing w:before="100" w:beforeAutospacing="1" w:after="100" w:afterAutospacing="1" w:line="360" w:lineRule="auto"/>
      <w:shd w:val="clear" w:color="auto" w:fill="969696"/>
      <w:widowControl/>
      <w:pBdr>
        <w:top w:val="single" w:color="auto" w:sz="4" w:space="0"/>
        <w:bottom w:val="single" w:color="auto" w:sz="4" w:space="0"/>
      </w:pBdr>
    </w:pPr>
    <w:rPr>
      <w:rFonts w:ascii="Times New Roman" w:hAnsi="Times New Roman" w:cs="Times New Roman"/>
      <w:b/>
      <w:bCs/>
      <w:i/>
      <w:iCs/>
      <w:sz w:val="20"/>
      <w:szCs w:val="24"/>
      <w:lang w:val="en-US" w:bidi="ar-SA"/>
    </w:rPr>
  </w:style>
  <w:style w:type="paragraph" w:styleId="1388" w:customStyle="1">
    <w:name w:val="font12"/>
    <w:basedOn w:val="858"/>
    <w:uiPriority w:val="0"/>
    <w:qFormat/>
    <w:pPr>
      <w:ind w:firstLine="562"/>
      <w:spacing w:before="100" w:beforeAutospacing="1" w:after="100" w:afterAutospacing="1" w:line="360" w:lineRule="auto"/>
      <w:widowControl/>
    </w:pPr>
    <w:rPr>
      <w:sz w:val="36"/>
      <w:szCs w:val="36"/>
      <w:lang w:val="en-US" w:bidi="ar-SA"/>
    </w:rPr>
  </w:style>
  <w:style w:type="paragraph" w:styleId="1389" w:customStyle="1">
    <w:name w:val="xl46"/>
    <w:basedOn w:val="858"/>
    <w:uiPriority w:val="0"/>
    <w:qFormat/>
    <w:pPr>
      <w:ind w:firstLine="562"/>
      <w:jc w:val="center"/>
      <w:spacing w:before="100" w:beforeAutospacing="1" w:after="100" w:afterAutospacing="1" w:line="360" w:lineRule="auto"/>
      <w:widowControl/>
      <w:pBdr>
        <w:left w:val="single" w:color="auto" w:sz="4" w:space="0"/>
        <w:right w:val="single" w:color="auto" w:sz="4" w:space="0"/>
      </w:pBdr>
    </w:pPr>
    <w:rPr>
      <w:sz w:val="24"/>
      <w:szCs w:val="24"/>
      <w:lang w:val="en-US" w:bidi="ar-SA"/>
    </w:rPr>
  </w:style>
  <w:style w:type="paragraph" w:styleId="1390" w:customStyle="1">
    <w:name w:val="项目符号，一级"/>
    <w:basedOn w:val="1203"/>
    <w:next w:val="1203"/>
    <w:uiPriority w:val="0"/>
    <w:qFormat/>
    <w:pPr>
      <w:ind w:left="376" w:firstLine="0"/>
      <w:spacing w:line="240" w:lineRule="atLeast"/>
      <w:tabs>
        <w:tab w:val="left" w:pos="1320" w:leader="none"/>
      </w:tabs>
    </w:pPr>
    <w:rPr>
      <w:rFonts w:ascii="Times New Roman" w:hAnsi="Times New Roman"/>
      <w:bCs w:val="0"/>
      <w:color w:val="000000"/>
      <w:szCs w:val="24"/>
    </w:rPr>
  </w:style>
  <w:style w:type="paragraph" w:styleId="1391" w:customStyle="1">
    <w:name w:val="标题2，章节第二层"/>
    <w:basedOn w:val="858"/>
    <w:next w:val="1203"/>
    <w:uiPriority w:val="0"/>
    <w:qFormat/>
    <w:pPr>
      <w:numPr>
        <w:ilvl w:val="4"/>
        <w:numId w:val="4"/>
      </w:numPr>
      <w:ind w:left="992" w:hanging="567"/>
      <w:jc w:val="both"/>
      <w:spacing w:before="312" w:after="312" w:line="300" w:lineRule="auto"/>
      <w:tabs>
        <w:tab w:val="left" w:pos="630" w:leader="none"/>
        <w:tab w:val="left" w:pos="992" w:leader="none"/>
      </w:tabs>
      <w:outlineLvl w:val="1"/>
    </w:pPr>
    <w:rPr>
      <w:rFonts w:ascii="Arial" w:hAnsi="Arial" w:eastAsia="黑体" w:cs="Times New Roman"/>
      <w:sz w:val="32"/>
      <w:szCs w:val="24"/>
      <w:lang w:val="en-US" w:bidi="ar-SA"/>
    </w:rPr>
  </w:style>
  <w:style w:type="paragraph" w:styleId="1392" w:customStyle="1">
    <w:name w:val="正文 居中"/>
    <w:basedOn w:val="858"/>
    <w:uiPriority w:val="0"/>
    <w:qFormat/>
    <w:pPr>
      <w:ind w:firstLine="562"/>
      <w:jc w:val="center"/>
      <w:spacing w:line="360" w:lineRule="auto"/>
    </w:pPr>
    <w:rPr>
      <w:rFonts w:ascii="Times New Roman" w:hAnsi="Times New Roman" w:cs="Times New Roman"/>
      <w:sz w:val="24"/>
      <w:szCs w:val="24"/>
      <w:lang w:val="en-US" w:bidi="ar-SA"/>
    </w:rPr>
  </w:style>
  <w:style w:type="paragraph" w:styleId="1393" w:customStyle="1">
    <w:name w:val="丁华标题3"/>
    <w:basedOn w:val="1139"/>
    <w:next w:val="1140"/>
    <w:uiPriority w:val="0"/>
    <w:qFormat/>
    <w:pPr>
      <w:numPr>
        <w:ilvl w:val="2"/>
      </w:numPr>
      <w:ind w:left="1980" w:hanging="420"/>
      <w:tabs>
        <w:tab w:val="left" w:pos="1470" w:leader="none"/>
        <w:tab w:val="left" w:pos="1980" w:leader="none"/>
      </w:tabs>
      <w:outlineLvl w:val="2"/>
    </w:pPr>
    <w:rPr>
      <w:rFonts w:ascii="Times New Roman" w:hAnsi="Times New Roman" w:eastAsia="宋体"/>
      <w:sz w:val="24"/>
    </w:rPr>
  </w:style>
  <w:style w:type="character" w:styleId="1394" w:customStyle="1">
    <w:name w:val="para_small"/>
    <w:uiPriority w:val="0"/>
    <w:qFormat/>
    <w:rPr>
      <w:rFonts w:ascii="Times New Roman" w:hAnsi="Times New Roman" w:eastAsia="宋体" w:cs="Times New Roman"/>
    </w:rPr>
  </w:style>
  <w:style w:type="paragraph" w:styleId="1395" w:customStyle="1">
    <w:name w:val="a"/>
    <w:basedOn w:val="858"/>
    <w:uiPriority w:val="0"/>
    <w:qFormat/>
    <w:pPr>
      <w:ind w:firstLine="562"/>
      <w:jc w:val="both"/>
      <w:spacing w:before="100" w:beforeAutospacing="1" w:after="100" w:afterAutospacing="1" w:line="360" w:lineRule="auto"/>
      <w:widowControl/>
    </w:pPr>
    <w:rPr>
      <w:sz w:val="24"/>
      <w:szCs w:val="24"/>
      <w:lang w:val="en-US" w:bidi="ar-SA"/>
    </w:rPr>
  </w:style>
  <w:style w:type="paragraph" w:styleId="1396" w:customStyle="1">
    <w:name w:val="Char Char Char Char Char Char Char Char Char Char Char1 Char Char Char1"/>
    <w:basedOn w:val="858"/>
    <w:uiPriority w:val="0"/>
    <w:qFormat/>
    <w:pPr>
      <w:ind w:firstLine="200"/>
      <w:spacing w:line="360" w:lineRule="auto"/>
    </w:pPr>
    <w:rPr>
      <w:rFonts w:ascii="Tahoma" w:hAnsi="Tahoma" w:cs="Times New Roman"/>
      <w:sz w:val="24"/>
      <w:szCs w:val="24"/>
      <w:lang w:val="en-US" w:bidi="ar-SA"/>
    </w:rPr>
  </w:style>
  <w:style w:type="character" w:styleId="1397" w:customStyle="1">
    <w:name w:val="小四 段落 宋体 Char1"/>
    <w:uiPriority w:val="0"/>
    <w:qFormat/>
    <w:rPr>
      <w:rFonts w:ascii="Times New Roman" w:hAnsi="Times New Roman" w:eastAsia="宋体" w:cs="Times New Roman"/>
      <w:sz w:val="24"/>
      <w:szCs w:val="24"/>
      <w:lang w:val="en-US" w:eastAsia="zh-CN" w:bidi="ar-SA"/>
    </w:rPr>
  </w:style>
  <w:style w:type="paragraph" w:styleId="1398" w:customStyle="1">
    <w:name w:val="正文 + Arial Char"/>
    <w:basedOn w:val="858"/>
    <w:uiPriority w:val="0"/>
    <w:qFormat/>
    <w:pPr>
      <w:ind w:left="315" w:hanging="315"/>
      <w:jc w:val="both"/>
      <w:spacing w:line="300" w:lineRule="auto"/>
      <w:widowControl/>
      <w:tabs>
        <w:tab w:val="left" w:pos="315" w:leader="none"/>
      </w:tabs>
    </w:pPr>
    <w:rPr>
      <w:rFonts w:ascii="Arial" w:hAnsi="Arial" w:cs="Arial"/>
      <w:b/>
      <w:color w:val="000000"/>
      <w:sz w:val="24"/>
      <w:szCs w:val="24"/>
      <w:lang w:val="en-US" w:bidi="ar-SA"/>
    </w:rPr>
  </w:style>
  <w:style w:type="paragraph" w:styleId="1399" w:customStyle="1">
    <w:name w:val="font10"/>
    <w:basedOn w:val="858"/>
    <w:uiPriority w:val="0"/>
    <w:qFormat/>
    <w:pPr>
      <w:ind w:firstLine="562"/>
      <w:spacing w:before="100" w:beforeAutospacing="1" w:after="100" w:afterAutospacing="1" w:line="360" w:lineRule="auto"/>
      <w:widowControl/>
    </w:pPr>
    <w:rPr>
      <w:rFonts w:ascii="楷体_GB2312" w:eastAsia="楷体_GB2312"/>
      <w:b/>
      <w:bCs/>
      <w:sz w:val="18"/>
      <w:szCs w:val="18"/>
      <w:lang w:val="en-US" w:bidi="ar-SA"/>
    </w:rPr>
  </w:style>
  <w:style w:type="paragraph" w:styleId="140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401" w:customStyle="1">
    <w:name w:val="font8"/>
    <w:basedOn w:val="858"/>
    <w:uiPriority w:val="0"/>
    <w:qFormat/>
    <w:pPr>
      <w:ind w:firstLine="562"/>
      <w:spacing w:before="100" w:beforeAutospacing="1" w:after="100" w:afterAutospacing="1" w:line="360" w:lineRule="auto"/>
      <w:widowControl/>
    </w:pPr>
    <w:rPr>
      <w:b/>
      <w:bCs/>
      <w:i/>
      <w:iCs/>
      <w:sz w:val="20"/>
      <w:szCs w:val="24"/>
      <w:lang w:val="en-US" w:bidi="ar-SA"/>
    </w:rPr>
  </w:style>
  <w:style w:type="paragraph" w:styleId="1402" w:customStyle="1">
    <w:name w:val="Char2 Char Char Char Char Char Char1"/>
    <w:basedOn w:val="858"/>
    <w:uiPriority w:val="0"/>
    <w:qFormat/>
    <w:pPr>
      <w:ind w:hanging="425"/>
      <w:jc w:val="both"/>
      <w:keepNext/>
      <w:spacing w:before="80" w:after="80" w:line="360" w:lineRule="auto"/>
      <w:widowControl/>
      <w:tabs>
        <w:tab w:val="left" w:pos="425" w:leader="none"/>
      </w:tabs>
    </w:pPr>
    <w:rPr>
      <w:rFonts w:ascii="Arial" w:hAnsi="Arial" w:cs="Arial"/>
      <w:sz w:val="20"/>
      <w:szCs w:val="24"/>
      <w:lang w:val="en-US" w:bidi="ar-SA"/>
    </w:rPr>
  </w:style>
  <w:style w:type="character" w:styleId="1403" w:customStyle="1">
    <w:name w:val="样式 非加粗"/>
    <w:uiPriority w:val="0"/>
    <w:qFormat/>
    <w:rPr>
      <w:rFonts w:ascii="Times New Roman" w:hAnsi="Times New Roman" w:eastAsia="宋体" w:cs="Times New Roman"/>
      <w:sz w:val="28"/>
    </w:rPr>
  </w:style>
  <w:style w:type="paragraph" w:styleId="1404" w:customStyle="1">
    <w:name w:val="部分1"/>
    <w:basedOn w:val="858"/>
    <w:uiPriority w:val="0"/>
    <w:qFormat/>
    <w:pPr>
      <w:ind w:firstLine="562"/>
      <w:jc w:val="center"/>
      <w:keepNext/>
      <w:pageBreakBefore/>
      <w:spacing w:line="360" w:lineRule="auto"/>
      <w:tabs>
        <w:tab w:val="left" w:pos="360" w:leader="none"/>
      </w:tabs>
      <w:outlineLvl w:val="0"/>
    </w:pPr>
    <w:rPr>
      <w:rFonts w:ascii="Times New Roman" w:hAnsi="Times New Roman" w:eastAsia="黑体" w:cs="Times New Roman"/>
      <w:b/>
      <w:sz w:val="36"/>
      <w:szCs w:val="24"/>
      <w:lang w:val="en-US" w:bidi="ar-SA"/>
    </w:rPr>
  </w:style>
  <w:style w:type="paragraph" w:styleId="1405" w:customStyle="1">
    <w:name w:val="xl60"/>
    <w:basedOn w:val="858"/>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4"/>
      <w:lang w:val="en-US" w:bidi="ar-SA"/>
    </w:rPr>
  </w:style>
  <w:style w:type="paragraph" w:styleId="1406" w:customStyle="1">
    <w:name w:val="符号与编号"/>
    <w:basedOn w:val="858"/>
    <w:uiPriority w:val="0"/>
    <w:qFormat/>
    <w:pPr>
      <w:ind w:left="900" w:hanging="420"/>
      <w:jc w:val="both"/>
      <w:spacing w:after="156" w:line="400" w:lineRule="atLeast"/>
      <w:tabs>
        <w:tab w:val="left" w:pos="900" w:leader="none"/>
      </w:tabs>
    </w:pPr>
    <w:rPr>
      <w:rFonts w:ascii="Times New Roman" w:hAnsi="Times New Roman" w:cs="Times New Roman"/>
      <w:sz w:val="24"/>
      <w:szCs w:val="24"/>
      <w:lang w:val="en-US" w:bidi="ar-SA"/>
    </w:rPr>
  </w:style>
  <w:style w:type="paragraph" w:styleId="1407" w:customStyle="1">
    <w:name w:val="No Spacing1"/>
    <w:uiPriority w:val="0"/>
    <w:qFormat/>
    <w:pPr>
      <w:jc w:val="both"/>
      <w:widowControl w:val="off"/>
    </w:pPr>
    <w:rPr>
      <w:rFonts w:ascii="Times New Roman" w:hAnsi="Times New Roman" w:eastAsia="微软雅黑" w:cs="Times New Roman"/>
      <w:sz w:val="24"/>
      <w:szCs w:val="22"/>
      <w:lang w:val="en-US" w:eastAsia="zh-CN" w:bidi="ar-SA"/>
    </w:rPr>
  </w:style>
  <w:style w:type="paragraph" w:styleId="1408" w:customStyle="1">
    <w:name w:val="样式3"/>
    <w:basedOn w:val="858"/>
    <w:next w:val="858"/>
    <w:uiPriority w:val="0"/>
    <w:qFormat/>
    <w:pPr>
      <w:ind w:firstLine="562"/>
      <w:jc w:val="both"/>
      <w:spacing w:line="360" w:lineRule="auto"/>
    </w:pPr>
    <w:rPr>
      <w:rFonts w:ascii="Times New Roman" w:hAnsi="Times New Roman" w:cs="Times New Roman"/>
      <w:sz w:val="24"/>
      <w:szCs w:val="24"/>
      <w:lang w:val="en-US" w:bidi="ar-SA"/>
    </w:rPr>
  </w:style>
  <w:style w:type="character" w:styleId="1409" w:customStyle="1">
    <w:name w:val="标准小四 Char Char"/>
    <w:uiPriority w:val="0"/>
    <w:qFormat/>
    <w:rPr>
      <w:rFonts w:ascii="Arial" w:hAnsi="Arial" w:eastAsia="宋体" w:cs="Times New Roman"/>
      <w:sz w:val="24"/>
      <w:szCs w:val="21"/>
      <w:lang w:val="en-US" w:eastAsia="zh-CN" w:bidi="ar-SA"/>
    </w:rPr>
  </w:style>
  <w:style w:type="character" w:styleId="1410" w:customStyle="1">
    <w:name w:val="Char Char17"/>
    <w:uiPriority w:val="0"/>
    <w:qFormat/>
    <w:rPr>
      <w:rFonts w:ascii="宋体" w:hAnsi="Courier New" w:eastAsia="宋体" w:cs="Times New Roman"/>
      <w:sz w:val="21"/>
      <w:szCs w:val="21"/>
    </w:rPr>
  </w:style>
  <w:style w:type="paragraph" w:styleId="1411" w:customStyle="1">
    <w:name w:val="表格内文字"/>
    <w:basedOn w:val="858"/>
    <w:uiPriority w:val="0"/>
    <w:qFormat/>
    <w:pPr>
      <w:ind w:firstLine="562"/>
      <w:jc w:val="both"/>
      <w:spacing w:line="300" w:lineRule="atLeast"/>
    </w:pPr>
    <w:rPr>
      <w:rFonts w:ascii="Times New Roman" w:hAnsi="Times New Roman" w:cs="Times New Roman"/>
      <w:sz w:val="18"/>
      <w:szCs w:val="24"/>
      <w:lang w:val="en-US" w:bidi="ar-SA"/>
    </w:rPr>
  </w:style>
  <w:style w:type="paragraph" w:styleId="1412" w:customStyle="1">
    <w:name w:val="1"/>
    <w:basedOn w:val="858"/>
    <w:next w:val="914"/>
    <w:uiPriority w:val="0"/>
    <w:qFormat/>
    <w:pPr>
      <w:ind w:firstLine="562"/>
      <w:jc w:val="both"/>
      <w:spacing w:line="360" w:lineRule="auto"/>
    </w:pPr>
    <w:rPr>
      <w:rFonts w:ascii="Times New Roman" w:hAnsi="Times New Roman" w:eastAsia="仿宋_GB2312" w:cs="Times New Roman"/>
      <w:sz w:val="24"/>
      <w:szCs w:val="24"/>
      <w:lang w:val="en-US" w:bidi="ar-SA"/>
    </w:rPr>
  </w:style>
  <w:style w:type="paragraph" w:styleId="1413" w:customStyle="1">
    <w:name w:val="正文文本 New New"/>
    <w:basedOn w:val="858"/>
    <w:uiPriority w:val="0"/>
    <w:qFormat/>
    <w:pPr>
      <w:ind w:firstLine="200"/>
      <w:jc w:val="both"/>
      <w:spacing w:before="60" w:after="60" w:line="360" w:lineRule="auto"/>
      <w:widowControl/>
    </w:pPr>
    <w:rPr>
      <w:rFonts w:ascii="Times New Roman" w:hAnsi="Times New Roman" w:eastAsia="华文楷体" w:cs="Times New Roman"/>
      <w:sz w:val="24"/>
      <w:szCs w:val="24"/>
      <w:lang w:val="en-US" w:bidi="ar-SA"/>
    </w:rPr>
  </w:style>
  <w:style w:type="paragraph" w:styleId="1414" w:customStyle="1">
    <w:name w:val="font13"/>
    <w:basedOn w:val="858"/>
    <w:uiPriority w:val="0"/>
    <w:qFormat/>
    <w:pPr>
      <w:ind w:firstLine="562"/>
      <w:spacing w:before="100" w:beforeAutospacing="1" w:after="100" w:afterAutospacing="1" w:line="360" w:lineRule="auto"/>
      <w:widowControl/>
    </w:pPr>
    <w:rPr>
      <w:rFonts w:ascii="Times New Roman" w:hAnsi="Times New Roman" w:cs="Times New Roman"/>
      <w:i/>
      <w:iCs/>
      <w:sz w:val="36"/>
      <w:szCs w:val="36"/>
      <w:lang w:val="en-US" w:bidi="ar-SA"/>
    </w:rPr>
  </w:style>
  <w:style w:type="paragraph" w:styleId="1415" w:customStyle="1">
    <w:name w:val="正文 + 宋体"/>
    <w:basedOn w:val="858"/>
    <w:uiPriority w:val="0"/>
    <w:qFormat/>
    <w:pPr>
      <w:ind w:firstLine="420"/>
      <w:jc w:val="both"/>
      <w:spacing w:line="360" w:lineRule="auto"/>
    </w:pPr>
    <w:rPr>
      <w:rFonts w:ascii="Times New Roman" w:hAnsi="Times New Roman" w:cs="Times New Roman"/>
      <w:sz w:val="24"/>
      <w:szCs w:val="24"/>
      <w:lang w:val="en-US" w:bidi="ar-SA"/>
    </w:rPr>
  </w:style>
  <w:style w:type="character" w:styleId="1416" w:customStyle="1">
    <w:name w:val="style131"/>
    <w:uiPriority w:val="0"/>
    <w:qFormat/>
    <w:rPr>
      <w:rFonts w:ascii="Times New Roman" w:hAnsi="Times New Roman" w:eastAsia="宋体" w:cs="Times New Roman"/>
      <w:sz w:val="18"/>
      <w:szCs w:val="18"/>
    </w:rPr>
  </w:style>
  <w:style w:type="paragraph" w:styleId="1417" w:customStyle="1">
    <w:name w:val="标题1，章节第一层"/>
    <w:basedOn w:val="1203"/>
    <w:next w:val="1203"/>
    <w:uiPriority w:val="0"/>
    <w:qFormat/>
    <w:pPr>
      <w:ind w:left="482"/>
      <w:spacing w:before="0"/>
      <w:tabs>
        <w:tab w:val="left" w:pos="693" w:leader="none"/>
      </w:tabs>
      <w:outlineLvl w:val="0"/>
    </w:pPr>
    <w:rPr>
      <w:rFonts w:ascii="Times New Roman" w:hAnsi="Times New Roman"/>
      <w:color w:val="000000"/>
      <w:szCs w:val="24"/>
    </w:rPr>
  </w:style>
  <w:style w:type="paragraph" w:styleId="1418" w:customStyle="1">
    <w:name w:val="a0"/>
    <w:basedOn w:val="858"/>
    <w:uiPriority w:val="0"/>
    <w:qFormat/>
    <w:pPr>
      <w:ind w:firstLine="562"/>
      <w:jc w:val="both"/>
      <w:spacing w:before="100" w:beforeAutospacing="1" w:after="100" w:afterAutospacing="1" w:line="360" w:lineRule="auto"/>
      <w:widowControl/>
    </w:pPr>
    <w:rPr>
      <w:sz w:val="24"/>
      <w:szCs w:val="24"/>
      <w:lang w:val="en-US" w:bidi="ar-SA"/>
    </w:rPr>
  </w:style>
  <w:style w:type="character" w:styleId="1419" w:customStyle="1">
    <w:name w:val="font101"/>
    <w:uiPriority w:val="0"/>
    <w:qFormat/>
    <w:rPr>
      <w:rFonts w:hint="eastAsia" w:ascii="宋体" w:hAnsi="宋体" w:eastAsia="宋体" w:cs="宋体"/>
      <w:color w:val="000000"/>
      <w:sz w:val="16"/>
      <w:szCs w:val="16"/>
      <w:u w:val="none"/>
    </w:rPr>
  </w:style>
  <w:style w:type="paragraph" w:styleId="1420" w:customStyle="1">
    <w:name w:val="xl42"/>
    <w:basedOn w:val="858"/>
    <w:uiPriority w:val="0"/>
    <w:qFormat/>
    <w:pPr>
      <w:ind w:firstLine="562"/>
      <w:jc w:val="center"/>
      <w:spacing w:before="100" w:beforeAutospacing="1" w:after="100" w:afterAutospacing="1" w:line="360" w:lineRule="auto"/>
      <w:widowControl/>
      <w:pBdr>
        <w:top w:val="single" w:color="auto" w:sz="4" w:space="0"/>
        <w:left w:val="single" w:color="auto" w:sz="4" w:space="0"/>
        <w:bottom w:val="single" w:color="auto" w:sz="4" w:space="0"/>
        <w:right w:val="single" w:color="auto" w:sz="4" w:space="0"/>
      </w:pBdr>
    </w:pPr>
    <w:rPr>
      <w:b/>
      <w:bCs/>
      <w:sz w:val="20"/>
      <w:szCs w:val="24"/>
      <w:lang w:val="en-US" w:bidi="ar-SA"/>
    </w:rPr>
  </w:style>
  <w:style w:type="paragraph" w:styleId="1421" w:customStyle="1">
    <w:name w:val="列表内容"/>
    <w:basedOn w:val="858"/>
    <w:next w:val="858"/>
    <w:uiPriority w:val="0"/>
    <w:qFormat/>
    <w:pPr>
      <w:ind w:left="840" w:hanging="420"/>
      <w:spacing w:line="360" w:lineRule="auto"/>
      <w:widowControl/>
      <w:tabs>
        <w:tab w:val="left" w:pos="840" w:leader="none"/>
      </w:tabs>
    </w:pPr>
    <w:rPr>
      <w:rFonts w:ascii="Times New Roman" w:hAnsi="Times New Roman" w:cs="Times New Roman"/>
      <w:sz w:val="18"/>
      <w:szCs w:val="24"/>
      <w:lang w:val="en-US" w:bidi="ar-SA"/>
    </w:rPr>
  </w:style>
  <w:style w:type="paragraph" w:styleId="1422" w:customStyle="1">
    <w:name w:val="正文表标题"/>
    <w:next w:val="128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423" w:customStyle="1">
    <w:name w:val="二级条标题"/>
    <w:basedOn w:val="858"/>
    <w:next w:val="1286"/>
    <w:uiPriority w:val="0"/>
    <w:qFormat/>
    <w:pPr>
      <w:ind w:hanging="420"/>
      <w:jc w:val="both"/>
      <w:spacing w:line="360" w:lineRule="auto"/>
      <w:widowControl/>
      <w:tabs>
        <w:tab w:val="left" w:pos="2240" w:leader="none"/>
      </w:tabs>
      <w:outlineLvl w:val="3"/>
    </w:pPr>
    <w:rPr>
      <w:rFonts w:ascii="Times New Roman" w:hAnsi="Times New Roman" w:eastAsia="黑体" w:cs="Times New Roman"/>
      <w:sz w:val="24"/>
      <w:szCs w:val="24"/>
      <w:lang w:val="en-US" w:bidi="ar-SA"/>
    </w:rPr>
  </w:style>
  <w:style w:type="character" w:styleId="1424" w:customStyle="1">
    <w:name w:val="apple-converted-space"/>
    <w:uiPriority w:val="0"/>
    <w:qFormat/>
    <w:rPr>
      <w:rFonts w:ascii="Times New Roman" w:hAnsi="Times New Roman" w:eastAsia="宋体" w:cs="Times New Roman"/>
    </w:rPr>
  </w:style>
  <w:style w:type="paragraph" w:styleId="1425" w:customStyle="1">
    <w:name w:val="xl47"/>
    <w:basedOn w:val="858"/>
    <w:uiPriority w:val="0"/>
    <w:qFormat/>
    <w:pPr>
      <w:ind w:firstLine="562"/>
      <w:jc w:val="center"/>
      <w:spacing w:before="100" w:beforeAutospacing="1" w:after="100" w:afterAutospacing="1" w:line="360" w:lineRule="auto"/>
      <w:widowControl/>
      <w:pBdr>
        <w:left w:val="single" w:color="auto" w:sz="4" w:space="0"/>
        <w:bottom w:val="single" w:color="auto" w:sz="4" w:space="0"/>
        <w:right w:val="single" w:color="auto" w:sz="4" w:space="0"/>
      </w:pBdr>
    </w:pPr>
    <w:rPr>
      <w:sz w:val="24"/>
      <w:szCs w:val="24"/>
      <w:lang w:val="en-US" w:bidi="ar-SA"/>
    </w:rPr>
  </w:style>
  <w:style w:type="character" w:styleId="1426" w:customStyle="1">
    <w:name w:val="NormalCharacter"/>
    <w:uiPriority w:val="0"/>
    <w:qFormat/>
    <w:rPr>
      <w:rFonts w:ascii="Times New Roman" w:hAnsi="Times New Roman" w:eastAsia="宋体" w:cs="Times New Roman"/>
      <w:sz w:val="21"/>
      <w:szCs w:val="22"/>
      <w:lang w:val="en-US" w:eastAsia="zh-CN" w:bidi="ar-SA"/>
    </w:rPr>
  </w:style>
  <w:style w:type="paragraph" w:styleId="1427" w:customStyle="1">
    <w:name w:val="丁华标题1"/>
    <w:basedOn w:val="859"/>
    <w:next w:val="1140"/>
    <w:uiPriority w:val="0"/>
    <w:qFormat/>
    <w:pPr>
      <w:numPr>
        <w:ilvl w:val="0"/>
        <w:numId w:val="2"/>
      </w:numPr>
      <w:ind w:right="0" w:firstLine="0"/>
      <w:jc w:val="left"/>
      <w:keepLines/>
      <w:keepNext/>
      <w:spacing w:before="600" w:after="120" w:line="578" w:lineRule="auto"/>
      <w:tabs>
        <w:tab w:val="left" w:pos="1440" w:leader="none"/>
      </w:tabs>
    </w:pPr>
    <w:rPr>
      <w:rFonts w:ascii="Times New Roman" w:hAnsi="Times New Roman" w:cs="Times New Roman"/>
      <w:b w:val="0"/>
      <w:bCs w:val="0"/>
      <w:sz w:val="32"/>
      <w:szCs w:val="20"/>
      <w:lang w:val="en-US" w:bidi="ar-SA"/>
    </w:rPr>
  </w:style>
  <w:style w:type="paragraph" w:styleId="1428" w:customStyle="1">
    <w:name w:val="正文--表格内正文"/>
    <w:basedOn w:val="858"/>
    <w:uiPriority w:val="0"/>
    <w:qFormat/>
    <w:pPr>
      <w:ind w:firstLine="562"/>
      <w:jc w:val="center"/>
      <w:spacing w:before="156" w:line="0" w:lineRule="atLeast"/>
    </w:pPr>
    <w:rPr>
      <w:rFonts w:cs="Times New Roman"/>
      <w:color w:val="000000"/>
      <w:sz w:val="24"/>
      <w:szCs w:val="24"/>
      <w:lang w:val="en-US" w:bidi="ar-SA"/>
    </w:rPr>
  </w:style>
  <w:style w:type="character" w:styleId="1429" w:customStyle="1">
    <w:name w:val="标题 3 Char Char"/>
    <w:uiPriority w:val="0"/>
    <w:qFormat/>
    <w:rPr>
      <w:rFonts w:ascii="Times New Roman" w:hAnsi="Times New Roman" w:eastAsia="仿宋_GB2312" w:cs="Times New Roman"/>
      <w:b/>
      <w:bCs/>
      <w:sz w:val="28"/>
      <w:szCs w:val="32"/>
      <w:lang w:val="en-US" w:eastAsia="zh-CN" w:bidi="ar-SA"/>
    </w:rPr>
  </w:style>
  <w:style w:type="character" w:styleId="1430" w:customStyle="1">
    <w:name w:val="标准文本 Char Char"/>
    <w:uiPriority w:val="0"/>
    <w:qFormat/>
    <w:rPr>
      <w:rFonts w:ascii="Times New Roman" w:hAnsi="Times New Roman" w:eastAsia="宋体" w:cs="宋体"/>
      <w:sz w:val="24"/>
      <w:szCs w:val="24"/>
      <w:lang w:val="en-US" w:eastAsia="zh-CN" w:bidi="ar-SA"/>
    </w:rPr>
  </w:style>
  <w:style w:type="paragraph" w:styleId="1431"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character" w:styleId="1432" w:customStyle="1">
    <w:name w:val="样式 首行缩进:  2 字符 Char"/>
    <w:uiPriority w:val="0"/>
    <w:qFormat/>
    <w:rPr>
      <w:rFonts w:ascii="Times New Roman" w:hAnsi="Times New Roman" w:eastAsia="宋体" w:cs="宋体"/>
      <w:sz w:val="24"/>
      <w:lang w:val="en-US" w:eastAsia="zh-CN" w:bidi="ar-SA"/>
    </w:rPr>
  </w:style>
  <w:style w:type="paragraph" w:styleId="1433" w:customStyle="1">
    <w:name w:val="flType"/>
    <w:basedOn w:val="1136"/>
    <w:uiPriority w:val="0"/>
    <w:qFormat/>
    <w:pPr>
      <w:spacing w:after="284"/>
    </w:pPr>
  </w:style>
  <w:style w:type="paragraph" w:styleId="1434" w:customStyle="1">
    <w:name w:val="四号正文"/>
    <w:basedOn w:val="858"/>
    <w:uiPriority w:val="0"/>
    <w:qFormat/>
    <w:pPr>
      <w:ind w:firstLine="560"/>
      <w:jc w:val="both"/>
      <w:spacing w:line="360" w:lineRule="auto"/>
    </w:pPr>
    <w:rPr>
      <w:rFonts w:ascii="Times New Roman" w:hAnsi="Times New Roman" w:cs="Times New Roman"/>
      <w:sz w:val="28"/>
      <w:szCs w:val="28"/>
      <w:lang w:val="en-US" w:bidi="ar-SA"/>
    </w:rPr>
  </w:style>
  <w:style w:type="character" w:styleId="1435" w:customStyle="1">
    <w:name w:val="华宇段落1 Char Char Char"/>
    <w:uiPriority w:val="0"/>
    <w:qFormat/>
    <w:rPr>
      <w:rFonts w:ascii="Times New Roman" w:hAnsi="Times New Roman" w:eastAsia="宋体" w:cs="Times New Roman"/>
      <w:bCs/>
      <w:sz w:val="24"/>
      <w:szCs w:val="24"/>
      <w:lang w:val="en-US" w:eastAsia="zh-CN" w:bidi="ar-SA"/>
    </w:rPr>
  </w:style>
  <w:style w:type="character" w:styleId="1436" w:customStyle="1">
    <w:name w:val="Char Char26"/>
    <w:uiPriority w:val="0"/>
    <w:qFormat/>
    <w:rPr>
      <w:rFonts w:ascii="Times New Roman" w:hAnsi="Times New Roman" w:eastAsia="宋体" w:cs="Times New Roman"/>
      <w:b/>
      <w:bCs/>
      <w:sz w:val="32"/>
      <w:szCs w:val="32"/>
    </w:rPr>
  </w:style>
  <w:style w:type="paragraph" w:styleId="1437" w:customStyle="1">
    <w:name w:val="xl54"/>
    <w:basedOn w:val="858"/>
    <w:uiPriority w:val="0"/>
    <w:qFormat/>
    <w:pPr>
      <w:ind w:firstLine="562"/>
      <w:jc w:val="center"/>
      <w:spacing w:before="100" w:beforeAutospacing="1" w:after="100" w:afterAutospacing="1" w:line="360" w:lineRule="auto"/>
      <w:shd w:val="clear" w:color="auto" w:fill="969696"/>
      <w:widowControl/>
      <w:pBdr>
        <w:top w:val="single" w:color="auto" w:sz="4" w:space="0"/>
        <w:left w:val="single" w:color="auto" w:sz="4" w:space="0"/>
        <w:bottom w:val="single" w:color="auto" w:sz="4" w:space="0"/>
      </w:pBdr>
    </w:pPr>
    <w:rPr>
      <w:b/>
      <w:bCs/>
      <w:sz w:val="20"/>
      <w:szCs w:val="24"/>
      <w:lang w:val="en-US" w:bidi="ar-SA"/>
    </w:rPr>
  </w:style>
  <w:style w:type="numbering" w:styleId="14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jpg"/><Relationship Id="rId16"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40ED923-B69B-49FE-BB9E-F3849974E35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210</cp:revision>
  <dcterms:created xsi:type="dcterms:W3CDTF">2025-06-16T07:37:00Z</dcterms:created>
  <dcterms:modified xsi:type="dcterms:W3CDTF">2026-04-16T07:43:37Z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744B8C9852454CCA9074C703616967C3_13</vt:lpwstr>
  </property>
  <property fmtid="{D5CDD505-2E9C-101B-9397-08002B2CF9AE}" pid="7" name="KSOTemplateDocerSaveRecord">
    <vt:lpwstr>eyJoZGlkIjoiYTRhMDcwNGIxZTNiMzM5ZGI1NmM3MmZhMTMyY2I2NmMiLCJ1c2VySWQiOiIyNzM4NDU2NzMifQ==</vt:lpwstr>
  </property>
</Properties>
</file>